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CE172" w14:textId="77777777" w:rsidR="00B5562A" w:rsidRPr="005B2E5B" w:rsidRDefault="00B5562A">
      <w:pPr>
        <w:pStyle w:val="List"/>
        <w:ind w:left="0" w:firstLine="0"/>
        <w:rPr>
          <w:bCs/>
        </w:rPr>
        <w:sectPr w:rsidR="00B5562A" w:rsidRPr="005B2E5B">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1958" w:right="720" w:bottom="864" w:left="720" w:header="720" w:footer="720" w:gutter="0"/>
          <w:paperSrc w:first="266" w:other="266"/>
          <w:pgNumType w:start="1"/>
          <w:cols w:space="720"/>
        </w:sectPr>
      </w:pPr>
    </w:p>
    <w:p w14:paraId="5C51928D" w14:textId="2E24A75C" w:rsidR="00B5562A" w:rsidRDefault="00B5562A">
      <w:r>
        <w:t xml:space="preserve">NGC Regulation 6.090(15) requires the internal auditor to use guidelines, checklists and other “criteria established by the </w:t>
      </w:r>
      <w:r w:rsidR="00CA12AC">
        <w:t>C</w:t>
      </w:r>
      <w:r>
        <w:t xml:space="preserve">hair” in determining whether a Group I licensee </w:t>
      </w:r>
      <w:proofErr w:type="gramStart"/>
      <w:r>
        <w:t>is in compliance with</w:t>
      </w:r>
      <w:proofErr w:type="gramEnd"/>
      <w:r>
        <w:t xml:space="preserve"> applicable statutes, regulations, and Minimum Internal Control Standards (MICS).  The use of this checklist satisfies these requirements.</w:t>
      </w:r>
    </w:p>
    <w:p w14:paraId="407017A5" w14:textId="77777777" w:rsidR="00B5562A" w:rsidRPr="00DB272A" w:rsidRDefault="00B5562A">
      <w:pPr>
        <w:pStyle w:val="BodyText"/>
        <w:rPr>
          <w:sz w:val="16"/>
        </w:rPr>
      </w:pPr>
    </w:p>
    <w:p w14:paraId="2747E86A" w14:textId="77777777" w:rsidR="00B5562A" w:rsidRDefault="00B5562A">
      <w:pPr>
        <w:pStyle w:val="BodyText"/>
        <w:rPr>
          <w:sz w:val="20"/>
          <w:u w:val="single"/>
        </w:rPr>
      </w:pPr>
      <w:r>
        <w:rPr>
          <w:sz w:val="20"/>
          <w:u w:val="single"/>
        </w:rPr>
        <w:t>Objectives:</w:t>
      </w:r>
    </w:p>
    <w:p w14:paraId="0CABEB53" w14:textId="77777777" w:rsidR="00B5562A" w:rsidRDefault="00B5562A">
      <w:pPr>
        <w:pStyle w:val="BodyText"/>
        <w:rPr>
          <w:sz w:val="20"/>
        </w:rPr>
      </w:pPr>
      <w:r>
        <w:rPr>
          <w:sz w:val="20"/>
        </w:rPr>
        <w:t>To determine if controls for slots are adequate to ensure slot revenues are accurately stated in financial records and comply with the MICS.</w:t>
      </w:r>
    </w:p>
    <w:p w14:paraId="3A6F8733" w14:textId="77777777" w:rsidR="00B5562A" w:rsidRPr="00DB272A" w:rsidRDefault="00B5562A">
      <w:pPr>
        <w:pStyle w:val="BodyText"/>
        <w:rPr>
          <w:sz w:val="16"/>
        </w:rPr>
      </w:pPr>
    </w:p>
    <w:p w14:paraId="63A28445" w14:textId="77777777" w:rsidR="00B5562A" w:rsidRDefault="00B5562A">
      <w:pPr>
        <w:rPr>
          <w:u w:val="single"/>
        </w:rPr>
      </w:pPr>
      <w:r>
        <w:rPr>
          <w:u w:val="single"/>
        </w:rPr>
        <w:t>Checklist Completion Notes:</w:t>
      </w:r>
    </w:p>
    <w:p w14:paraId="6CB9359D" w14:textId="77777777" w:rsidR="00B5562A" w:rsidRDefault="00B5562A" w:rsidP="0026719C">
      <w:pPr>
        <w:numPr>
          <w:ilvl w:val="0"/>
          <w:numId w:val="1"/>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184AAD1E" w14:textId="77777777" w:rsidR="00B5562A" w:rsidRDefault="00B5562A">
      <w:pPr>
        <w:rPr>
          <w:u w:val="single"/>
        </w:rPr>
      </w:pPr>
    </w:p>
    <w:p w14:paraId="03E00CBA" w14:textId="4F354A37" w:rsidR="00B5562A" w:rsidRDefault="00B5562A" w:rsidP="0026719C">
      <w:pPr>
        <w:pStyle w:val="BodyText"/>
        <w:numPr>
          <w:ilvl w:val="0"/>
          <w:numId w:val="1"/>
        </w:numPr>
        <w:rPr>
          <w:sz w:val="20"/>
        </w:rPr>
      </w:pPr>
      <w:r>
        <w:rPr>
          <w:sz w:val="20"/>
        </w:rPr>
        <w:t>The minimum standards quoted on t</w:t>
      </w:r>
      <w:r w:rsidR="00EC6910">
        <w:rPr>
          <w:sz w:val="20"/>
        </w:rPr>
        <w:t xml:space="preserve">his checklist are from Version </w:t>
      </w:r>
      <w:r w:rsidR="00C975F9">
        <w:rPr>
          <w:sz w:val="20"/>
        </w:rPr>
        <w:t>9</w:t>
      </w:r>
      <w:r w:rsidR="00363999">
        <w:rPr>
          <w:sz w:val="20"/>
        </w:rPr>
        <w:t xml:space="preserve"> </w:t>
      </w:r>
      <w:r>
        <w:rPr>
          <w:sz w:val="20"/>
        </w:rPr>
        <w:t>of the stan</w:t>
      </w:r>
      <w:r w:rsidR="00D6542B">
        <w:rPr>
          <w:sz w:val="20"/>
        </w:rPr>
        <w:t xml:space="preserve">dards. </w:t>
      </w:r>
      <w:r>
        <w:rPr>
          <w:sz w:val="20"/>
        </w:rPr>
        <w:tab/>
        <w:t xml:space="preserve"> </w:t>
      </w:r>
    </w:p>
    <w:p w14:paraId="4554F138" w14:textId="77777777" w:rsidR="00B5562A" w:rsidRDefault="00B5562A">
      <w:pPr>
        <w:pStyle w:val="BodyText"/>
        <w:rPr>
          <w:sz w:val="20"/>
        </w:rPr>
      </w:pPr>
    </w:p>
    <w:p w14:paraId="66B6CD47" w14:textId="77777777" w:rsidR="00B5562A" w:rsidRDefault="00B5562A" w:rsidP="0026719C">
      <w:pPr>
        <w:pStyle w:val="List"/>
        <w:numPr>
          <w:ilvl w:val="0"/>
          <w:numId w:val="1"/>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2B438C35" w14:textId="77777777" w:rsidR="00DB272A" w:rsidRDefault="00DB272A" w:rsidP="00DB272A">
      <w:pPr>
        <w:pStyle w:val="List"/>
        <w:ind w:left="0" w:firstLine="0"/>
      </w:pPr>
    </w:p>
    <w:p w14:paraId="71CB1F9F" w14:textId="4A6CF8FF" w:rsidR="00DB272A" w:rsidRPr="00DB272A" w:rsidRDefault="00DB272A" w:rsidP="00DB272A">
      <w:pPr>
        <w:ind w:left="360" w:hanging="360"/>
        <w:rPr>
          <w:szCs w:val="22"/>
        </w:rPr>
      </w:pPr>
      <w:r w:rsidRPr="00DB272A">
        <w:rPr>
          <w:szCs w:val="22"/>
        </w:rPr>
        <w:t>4)</w:t>
      </w:r>
      <w:r w:rsidRPr="00DB272A">
        <w:rPr>
          <w:szCs w:val="22"/>
        </w:rPr>
        <w:tab/>
        <w:t>Procedures for wagering accounts are addressed in both the</w:t>
      </w:r>
      <w:r w:rsidR="00EA14DA">
        <w:rPr>
          <w:szCs w:val="22"/>
        </w:rPr>
        <w:t xml:space="preserve"> Slots </w:t>
      </w:r>
      <w:r w:rsidRPr="00DB272A">
        <w:rPr>
          <w:szCs w:val="22"/>
        </w:rPr>
        <w:t>and Cage and Credit Internal Audit Compliance Checklists and</w:t>
      </w:r>
      <w:r w:rsidR="005B543D">
        <w:rPr>
          <w:szCs w:val="22"/>
        </w:rPr>
        <w:t xml:space="preserve"> should</w:t>
      </w:r>
      <w:r w:rsidRPr="00DB272A">
        <w:rPr>
          <w:szCs w:val="22"/>
        </w:rPr>
        <w:t xml:space="preserve"> be</w:t>
      </w:r>
      <w:r w:rsidR="006C0D65">
        <w:rPr>
          <w:szCs w:val="22"/>
        </w:rPr>
        <w:t xml:space="preserve"> modified and</w:t>
      </w:r>
      <w:r w:rsidRPr="00DB272A">
        <w:rPr>
          <w:szCs w:val="22"/>
        </w:rPr>
        <w:t xml:space="preserve"> performed, as applicable. </w:t>
      </w:r>
    </w:p>
    <w:p w14:paraId="1889111F" w14:textId="77777777" w:rsidR="00DB272A" w:rsidRPr="00DB272A" w:rsidRDefault="00DB272A" w:rsidP="00DB272A">
      <w:pPr>
        <w:rPr>
          <w:szCs w:val="22"/>
        </w:rPr>
      </w:pPr>
    </w:p>
    <w:p w14:paraId="5D629D90" w14:textId="618728EA" w:rsidR="00DB272A" w:rsidRPr="00DB272A" w:rsidRDefault="00DB272A" w:rsidP="00DB272A">
      <w:pPr>
        <w:ind w:left="360" w:hanging="360"/>
        <w:rPr>
          <w:szCs w:val="22"/>
        </w:rPr>
      </w:pPr>
      <w:r w:rsidRPr="00DB272A">
        <w:rPr>
          <w:szCs w:val="22"/>
        </w:rPr>
        <w:t>5)</w:t>
      </w:r>
      <w:r w:rsidRPr="00DB272A">
        <w:rPr>
          <w:szCs w:val="22"/>
        </w:rPr>
        <w:tab/>
        <w:t xml:space="preserve">For licensees utilizing wagering accounts, procedures to be performed for reserve requirements are addressed in the Cage and Credit Internal Audit </w:t>
      </w:r>
      <w:r w:rsidR="006C0D65">
        <w:rPr>
          <w:szCs w:val="22"/>
        </w:rPr>
        <w:t xml:space="preserve">Compliance </w:t>
      </w:r>
      <w:r w:rsidR="00BD55C0">
        <w:rPr>
          <w:szCs w:val="22"/>
        </w:rPr>
        <w:t xml:space="preserve">Walkthrough </w:t>
      </w:r>
      <w:r w:rsidRPr="00DB272A">
        <w:rPr>
          <w:szCs w:val="22"/>
        </w:rPr>
        <w:t>Checklist.  Modify procedures as necessary.</w:t>
      </w:r>
    </w:p>
    <w:p w14:paraId="0DEE1821" w14:textId="77777777" w:rsidR="00B5562A" w:rsidRPr="00DB272A" w:rsidRDefault="00B5562A">
      <w:pPr>
        <w:pStyle w:val="BodyText"/>
        <w:rPr>
          <w:sz w:val="16"/>
        </w:rPr>
      </w:pPr>
    </w:p>
    <w:p w14:paraId="02205CB8" w14:textId="77777777" w:rsidR="00B5562A" w:rsidRDefault="00B5562A">
      <w:pPr>
        <w:ind w:left="1725" w:hanging="1725"/>
        <w:rPr>
          <w:u w:val="single"/>
        </w:rPr>
      </w:pPr>
      <w:r>
        <w:rPr>
          <w:u w:val="single"/>
        </w:rPr>
        <w:t>Scope:</w:t>
      </w:r>
    </w:p>
    <w:p w14:paraId="2E91B132" w14:textId="79FDF9B2" w:rsidR="00B5562A" w:rsidRDefault="00B5562A">
      <w:r>
        <w:t xml:space="preserve">Unless otherwise indicated, select 1 day during the fiscal six-month period.  Select an additional day, if necessary, to include both hard count and currency acceptor count documentation. </w:t>
      </w:r>
      <w:r w:rsidRPr="00237C06">
        <w:rPr>
          <w:b/>
        </w:rPr>
        <w:t xml:space="preserve"> Indicate Test Date(s)</w:t>
      </w:r>
      <w:r w:rsidR="00237C06" w:rsidRPr="00237C06">
        <w:rPr>
          <w:b/>
          <w:bCs/>
        </w:rPr>
        <w:t>:</w:t>
      </w:r>
      <w:r w:rsidR="00237C06">
        <w:rPr>
          <w:bCs/>
          <w:u w:val="single"/>
        </w:rPr>
        <w:tab/>
      </w:r>
      <w:r w:rsidR="00237C06">
        <w:rPr>
          <w:bCs/>
          <w:u w:val="single"/>
        </w:rPr>
        <w:tab/>
      </w:r>
      <w:r w:rsidR="00237C06">
        <w:rPr>
          <w:bCs/>
          <w:u w:val="single"/>
        </w:rPr>
        <w:tab/>
      </w:r>
      <w:r w:rsidR="00237C06">
        <w:rPr>
          <w:bCs/>
          <w:u w:val="single"/>
        </w:rPr>
        <w:tab/>
      </w:r>
    </w:p>
    <w:p w14:paraId="2647A768" w14:textId="77777777" w:rsidR="00B5562A" w:rsidRPr="00DB272A" w:rsidRDefault="00B5562A">
      <w:pPr>
        <w:pStyle w:val="BodyText"/>
        <w:rPr>
          <w:sz w:val="16"/>
        </w:rPr>
      </w:pPr>
      <w:r>
        <w:rPr>
          <w:sz w:val="20"/>
        </w:rPr>
        <w:t xml:space="preserve">   </w:t>
      </w:r>
    </w:p>
    <w:p w14:paraId="25EDFBE7" w14:textId="77777777" w:rsidR="00B5562A" w:rsidRDefault="00B5562A">
      <w:pPr>
        <w:pStyle w:val="BodyTextIndent"/>
        <w:ind w:left="1725" w:hanging="1725"/>
        <w:rPr>
          <w:sz w:val="20"/>
          <w:szCs w:val="20"/>
          <w:u w:val="single"/>
        </w:rPr>
      </w:pPr>
      <w:r>
        <w:rPr>
          <w:sz w:val="20"/>
          <w:szCs w:val="20"/>
          <w:u w:val="single"/>
        </w:rPr>
        <w:t>MICS Variations and Regulation Waivers:</w:t>
      </w:r>
    </w:p>
    <w:p w14:paraId="35E58C75" w14:textId="77777777" w:rsidR="00B5562A" w:rsidRDefault="00B5562A">
      <w:pPr>
        <w:pStyle w:val="BodyTextIndent"/>
        <w:rPr>
          <w:sz w:val="20"/>
          <w:szCs w:val="20"/>
        </w:rPr>
      </w:pPr>
      <w:r>
        <w:rPr>
          <w:sz w:val="20"/>
          <w:szCs w:val="20"/>
        </w:rPr>
        <w:t>Review the MICS variations and regulation waivers scheduled during the slot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424A3F8B" w14:textId="77777777" w:rsidR="00B5562A" w:rsidRDefault="00B5562A">
      <w:pPr>
        <w:pStyle w:val="BodyTextIndent"/>
        <w:ind w:left="1725" w:hanging="1725"/>
        <w:rPr>
          <w:sz w:val="20"/>
          <w:szCs w:val="20"/>
        </w:rPr>
      </w:pPr>
    </w:p>
    <w:tbl>
      <w:tblPr>
        <w:tblW w:w="109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
        <w:gridCol w:w="1283"/>
        <w:gridCol w:w="1996"/>
        <w:gridCol w:w="2498"/>
        <w:gridCol w:w="1050"/>
        <w:gridCol w:w="159"/>
        <w:gridCol w:w="2281"/>
        <w:gridCol w:w="1253"/>
        <w:gridCol w:w="280"/>
      </w:tblGrid>
      <w:tr w:rsidR="00B5562A" w14:paraId="2FEE2117" w14:textId="77777777" w:rsidTr="00DB272A">
        <w:trPr>
          <w:gridBefore w:val="1"/>
          <w:wBefore w:w="118" w:type="dxa"/>
        </w:trPr>
        <w:tc>
          <w:tcPr>
            <w:tcW w:w="1283" w:type="dxa"/>
            <w:tcBorders>
              <w:top w:val="single" w:sz="12" w:space="0" w:color="auto"/>
              <w:left w:val="single" w:sz="12" w:space="0" w:color="auto"/>
              <w:bottom w:val="single" w:sz="6" w:space="0" w:color="auto"/>
              <w:right w:val="single" w:sz="6" w:space="0" w:color="auto"/>
            </w:tcBorders>
          </w:tcPr>
          <w:p w14:paraId="35748593" w14:textId="77777777" w:rsidR="00B5562A" w:rsidRDefault="00B5562A">
            <w:pPr>
              <w:pStyle w:val="List"/>
              <w:ind w:left="0" w:firstLine="0"/>
              <w:jc w:val="center"/>
              <w:rPr>
                <w:b/>
                <w:bCs/>
              </w:rPr>
            </w:pPr>
            <w:r>
              <w:rPr>
                <w:b/>
                <w:bCs/>
              </w:rPr>
              <w:t>Date</w:t>
            </w:r>
          </w:p>
          <w:p w14:paraId="52351638" w14:textId="77777777" w:rsidR="00B5562A" w:rsidRDefault="00B5562A">
            <w:pPr>
              <w:pStyle w:val="List"/>
              <w:ind w:left="0" w:firstLine="0"/>
              <w:jc w:val="center"/>
              <w:rPr>
                <w:b/>
                <w:bCs/>
              </w:rPr>
            </w:pPr>
            <w:r>
              <w:rPr>
                <w:b/>
                <w:bCs/>
              </w:rPr>
              <w:t>Approval</w:t>
            </w:r>
          </w:p>
          <w:p w14:paraId="59A23690" w14:textId="77777777" w:rsidR="00B5562A" w:rsidRDefault="00B5562A">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3F141272" w14:textId="77777777" w:rsidR="00B5562A" w:rsidRDefault="00B5562A">
            <w:pPr>
              <w:pStyle w:val="List"/>
              <w:ind w:left="0" w:firstLine="0"/>
              <w:jc w:val="center"/>
              <w:rPr>
                <w:b/>
                <w:bCs/>
              </w:rPr>
            </w:pPr>
            <w:r>
              <w:rPr>
                <w:b/>
                <w:bCs/>
              </w:rPr>
              <w:t xml:space="preserve">MICS Number </w:t>
            </w:r>
          </w:p>
          <w:p w14:paraId="00147AFB" w14:textId="77777777" w:rsidR="00B5562A" w:rsidRDefault="00B5562A">
            <w:pPr>
              <w:pStyle w:val="List"/>
              <w:ind w:left="0" w:firstLine="0"/>
              <w:jc w:val="center"/>
              <w:rPr>
                <w:b/>
                <w:bCs/>
              </w:rPr>
            </w:pPr>
            <w:r>
              <w:rPr>
                <w:b/>
                <w:bCs/>
              </w:rPr>
              <w:t>or</w:t>
            </w:r>
          </w:p>
          <w:p w14:paraId="2CBEA150" w14:textId="77777777" w:rsidR="00B5562A" w:rsidRDefault="00B5562A">
            <w:pPr>
              <w:pStyle w:val="List"/>
              <w:ind w:left="0" w:firstLine="0"/>
              <w:jc w:val="center"/>
              <w:rPr>
                <w:b/>
                <w:bCs/>
              </w:rPr>
            </w:pPr>
            <w:r>
              <w:rPr>
                <w:b/>
                <w:bCs/>
              </w:rPr>
              <w:t>Regulation</w:t>
            </w:r>
          </w:p>
          <w:p w14:paraId="283F4166" w14:textId="77777777" w:rsidR="00B5562A" w:rsidRDefault="00B5562A">
            <w:pPr>
              <w:pStyle w:val="List"/>
              <w:ind w:left="0" w:firstLine="0"/>
              <w:jc w:val="center"/>
              <w:rPr>
                <w:b/>
                <w:bCs/>
              </w:rPr>
            </w:pPr>
          </w:p>
        </w:tc>
        <w:tc>
          <w:tcPr>
            <w:tcW w:w="3707" w:type="dxa"/>
            <w:gridSpan w:val="3"/>
            <w:tcBorders>
              <w:top w:val="single" w:sz="12" w:space="0" w:color="auto"/>
              <w:left w:val="single" w:sz="6" w:space="0" w:color="auto"/>
              <w:bottom w:val="single" w:sz="6" w:space="0" w:color="auto"/>
              <w:right w:val="single" w:sz="6" w:space="0" w:color="auto"/>
            </w:tcBorders>
          </w:tcPr>
          <w:p w14:paraId="1DBCA42C" w14:textId="77777777" w:rsidR="00B5562A" w:rsidRDefault="00B5562A">
            <w:pPr>
              <w:pStyle w:val="List"/>
              <w:ind w:left="0" w:firstLine="0"/>
              <w:jc w:val="center"/>
              <w:rPr>
                <w:b/>
                <w:bCs/>
              </w:rPr>
            </w:pPr>
            <w:r>
              <w:rPr>
                <w:b/>
                <w:bCs/>
              </w:rPr>
              <w:t xml:space="preserve">Description of </w:t>
            </w:r>
          </w:p>
          <w:p w14:paraId="68F2F5B6" w14:textId="77777777" w:rsidR="00B5562A" w:rsidRDefault="00B5562A">
            <w:pPr>
              <w:pStyle w:val="List"/>
              <w:ind w:left="0" w:firstLine="0"/>
              <w:jc w:val="center"/>
              <w:rPr>
                <w:b/>
                <w:bCs/>
              </w:rPr>
            </w:pPr>
            <w:r>
              <w:rPr>
                <w:b/>
                <w:bCs/>
              </w:rPr>
              <w:t>Variation/Waiver Granted</w:t>
            </w:r>
          </w:p>
          <w:p w14:paraId="4BC93D21" w14:textId="77777777" w:rsidR="00B5562A" w:rsidRDefault="00B5562A">
            <w:pPr>
              <w:pStyle w:val="List"/>
              <w:ind w:left="0" w:firstLine="0"/>
              <w:jc w:val="center"/>
              <w:rPr>
                <w:b/>
                <w:bCs/>
              </w:rPr>
            </w:pPr>
            <w:r>
              <w:rPr>
                <w:b/>
                <w:bCs/>
              </w:rPr>
              <w:t xml:space="preserve">or </w:t>
            </w:r>
          </w:p>
          <w:p w14:paraId="023AF80E" w14:textId="77777777" w:rsidR="00B5562A" w:rsidRDefault="00B5562A">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2B4AD521" w14:textId="77777777" w:rsidR="00B5562A" w:rsidRDefault="00B5562A">
            <w:pPr>
              <w:pStyle w:val="List"/>
              <w:ind w:left="0" w:firstLine="0"/>
              <w:jc w:val="center"/>
              <w:rPr>
                <w:b/>
                <w:bCs/>
              </w:rPr>
            </w:pPr>
            <w:r>
              <w:rPr>
                <w:b/>
                <w:bCs/>
              </w:rPr>
              <w:t>Number(s) of Procedure Modified or Added</w:t>
            </w:r>
          </w:p>
        </w:tc>
        <w:tc>
          <w:tcPr>
            <w:tcW w:w="1533" w:type="dxa"/>
            <w:gridSpan w:val="2"/>
            <w:tcBorders>
              <w:top w:val="single" w:sz="12" w:space="0" w:color="auto"/>
              <w:left w:val="single" w:sz="6" w:space="0" w:color="auto"/>
              <w:bottom w:val="single" w:sz="6" w:space="0" w:color="auto"/>
              <w:right w:val="single" w:sz="12" w:space="0" w:color="auto"/>
            </w:tcBorders>
          </w:tcPr>
          <w:p w14:paraId="70DF14A0" w14:textId="77777777" w:rsidR="00B5562A" w:rsidRDefault="00B5562A">
            <w:pPr>
              <w:pStyle w:val="List"/>
              <w:ind w:left="0" w:firstLine="0"/>
              <w:jc w:val="center"/>
              <w:rPr>
                <w:b/>
                <w:bCs/>
              </w:rPr>
            </w:pPr>
            <w:r>
              <w:rPr>
                <w:b/>
                <w:bCs/>
              </w:rPr>
              <w:t>W/P Ref.</w:t>
            </w:r>
          </w:p>
          <w:p w14:paraId="39273377" w14:textId="77777777" w:rsidR="00B5562A" w:rsidRDefault="00B5562A">
            <w:pPr>
              <w:pStyle w:val="List"/>
              <w:ind w:left="0" w:firstLine="0"/>
              <w:jc w:val="center"/>
              <w:rPr>
                <w:b/>
                <w:bCs/>
              </w:rPr>
            </w:pPr>
            <w:r>
              <w:rPr>
                <w:b/>
                <w:bCs/>
              </w:rPr>
              <w:t>(if appl.)</w:t>
            </w:r>
          </w:p>
        </w:tc>
      </w:tr>
      <w:tr w:rsidR="00B5562A" w14:paraId="36ACC4C2" w14:textId="77777777" w:rsidTr="00DB272A">
        <w:trPr>
          <w:gridBefore w:val="1"/>
          <w:wBefore w:w="118" w:type="dxa"/>
        </w:trPr>
        <w:tc>
          <w:tcPr>
            <w:tcW w:w="1283" w:type="dxa"/>
            <w:tcBorders>
              <w:top w:val="single" w:sz="6" w:space="0" w:color="auto"/>
              <w:left w:val="single" w:sz="12" w:space="0" w:color="auto"/>
              <w:bottom w:val="single" w:sz="6" w:space="0" w:color="auto"/>
              <w:right w:val="single" w:sz="6" w:space="0" w:color="auto"/>
            </w:tcBorders>
          </w:tcPr>
          <w:p w14:paraId="5D78466C"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6A32799E" w14:textId="77777777" w:rsidR="00B5562A" w:rsidRDefault="00B5562A">
            <w:pPr>
              <w:pStyle w:val="List"/>
              <w:ind w:left="0" w:firstLine="0"/>
            </w:pPr>
          </w:p>
        </w:tc>
        <w:tc>
          <w:tcPr>
            <w:tcW w:w="3707" w:type="dxa"/>
            <w:gridSpan w:val="3"/>
            <w:tcBorders>
              <w:top w:val="single" w:sz="6" w:space="0" w:color="auto"/>
              <w:left w:val="single" w:sz="6" w:space="0" w:color="auto"/>
              <w:bottom w:val="single" w:sz="6" w:space="0" w:color="auto"/>
              <w:right w:val="single" w:sz="6" w:space="0" w:color="auto"/>
            </w:tcBorders>
          </w:tcPr>
          <w:p w14:paraId="2D70A12E"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54E42213" w14:textId="77777777" w:rsidR="00B5562A" w:rsidRDefault="00B5562A">
            <w:pPr>
              <w:pStyle w:val="List"/>
              <w:ind w:left="0" w:firstLine="0"/>
            </w:pPr>
          </w:p>
        </w:tc>
        <w:tc>
          <w:tcPr>
            <w:tcW w:w="1533" w:type="dxa"/>
            <w:gridSpan w:val="2"/>
            <w:tcBorders>
              <w:top w:val="single" w:sz="6" w:space="0" w:color="auto"/>
              <w:left w:val="single" w:sz="6" w:space="0" w:color="auto"/>
              <w:bottom w:val="single" w:sz="6" w:space="0" w:color="auto"/>
              <w:right w:val="single" w:sz="12" w:space="0" w:color="auto"/>
            </w:tcBorders>
          </w:tcPr>
          <w:p w14:paraId="4EFC0DDD" w14:textId="77777777" w:rsidR="00B5562A" w:rsidRDefault="00B5562A">
            <w:pPr>
              <w:pStyle w:val="List"/>
              <w:ind w:left="0" w:firstLine="0"/>
            </w:pPr>
          </w:p>
        </w:tc>
      </w:tr>
      <w:tr w:rsidR="00B5562A" w14:paraId="4F76FCD6" w14:textId="77777777" w:rsidTr="00DB272A">
        <w:trPr>
          <w:gridBefore w:val="1"/>
          <w:wBefore w:w="118" w:type="dxa"/>
        </w:trPr>
        <w:tc>
          <w:tcPr>
            <w:tcW w:w="1283" w:type="dxa"/>
            <w:tcBorders>
              <w:top w:val="single" w:sz="6" w:space="0" w:color="auto"/>
              <w:left w:val="single" w:sz="12" w:space="0" w:color="auto"/>
              <w:bottom w:val="single" w:sz="6" w:space="0" w:color="auto"/>
              <w:right w:val="single" w:sz="6" w:space="0" w:color="auto"/>
            </w:tcBorders>
          </w:tcPr>
          <w:p w14:paraId="1D05086A"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65209E5A" w14:textId="77777777" w:rsidR="00B5562A" w:rsidRDefault="00B5562A">
            <w:pPr>
              <w:pStyle w:val="List"/>
              <w:ind w:left="0" w:firstLine="0"/>
            </w:pPr>
          </w:p>
        </w:tc>
        <w:tc>
          <w:tcPr>
            <w:tcW w:w="3707" w:type="dxa"/>
            <w:gridSpan w:val="3"/>
            <w:tcBorders>
              <w:top w:val="single" w:sz="6" w:space="0" w:color="auto"/>
              <w:left w:val="single" w:sz="6" w:space="0" w:color="auto"/>
              <w:bottom w:val="single" w:sz="6" w:space="0" w:color="auto"/>
              <w:right w:val="single" w:sz="6" w:space="0" w:color="auto"/>
            </w:tcBorders>
          </w:tcPr>
          <w:p w14:paraId="2F67C65A"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3B313480" w14:textId="77777777" w:rsidR="00B5562A" w:rsidRDefault="00B5562A">
            <w:pPr>
              <w:pStyle w:val="List"/>
              <w:ind w:left="0" w:firstLine="0"/>
            </w:pPr>
          </w:p>
        </w:tc>
        <w:tc>
          <w:tcPr>
            <w:tcW w:w="1533" w:type="dxa"/>
            <w:gridSpan w:val="2"/>
            <w:tcBorders>
              <w:top w:val="single" w:sz="6" w:space="0" w:color="auto"/>
              <w:left w:val="single" w:sz="6" w:space="0" w:color="auto"/>
              <w:bottom w:val="single" w:sz="6" w:space="0" w:color="auto"/>
              <w:right w:val="single" w:sz="12" w:space="0" w:color="auto"/>
            </w:tcBorders>
          </w:tcPr>
          <w:p w14:paraId="69B7E91D" w14:textId="77777777" w:rsidR="00B5562A" w:rsidRDefault="00B5562A">
            <w:pPr>
              <w:pStyle w:val="List"/>
              <w:ind w:left="0" w:firstLine="0"/>
            </w:pPr>
          </w:p>
        </w:tc>
      </w:tr>
      <w:tr w:rsidR="00B5562A" w14:paraId="46D35DD9" w14:textId="77777777" w:rsidTr="00DB272A">
        <w:trPr>
          <w:gridBefore w:val="1"/>
          <w:wBefore w:w="118" w:type="dxa"/>
        </w:trPr>
        <w:tc>
          <w:tcPr>
            <w:tcW w:w="1283" w:type="dxa"/>
            <w:tcBorders>
              <w:top w:val="single" w:sz="6" w:space="0" w:color="auto"/>
              <w:left w:val="single" w:sz="12" w:space="0" w:color="auto"/>
              <w:bottom w:val="single" w:sz="6" w:space="0" w:color="auto"/>
              <w:right w:val="single" w:sz="6" w:space="0" w:color="auto"/>
            </w:tcBorders>
          </w:tcPr>
          <w:p w14:paraId="22CE8EE3"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694C5894" w14:textId="77777777" w:rsidR="00B5562A" w:rsidRDefault="00B5562A">
            <w:pPr>
              <w:pStyle w:val="List"/>
              <w:ind w:left="0" w:firstLine="0"/>
            </w:pPr>
          </w:p>
        </w:tc>
        <w:tc>
          <w:tcPr>
            <w:tcW w:w="3707" w:type="dxa"/>
            <w:gridSpan w:val="3"/>
            <w:tcBorders>
              <w:top w:val="single" w:sz="6" w:space="0" w:color="auto"/>
              <w:left w:val="single" w:sz="6" w:space="0" w:color="auto"/>
              <w:bottom w:val="single" w:sz="6" w:space="0" w:color="auto"/>
              <w:right w:val="single" w:sz="6" w:space="0" w:color="auto"/>
            </w:tcBorders>
          </w:tcPr>
          <w:p w14:paraId="30EF15DC"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5F266892" w14:textId="77777777" w:rsidR="00B5562A" w:rsidRDefault="00B5562A">
            <w:pPr>
              <w:pStyle w:val="List"/>
              <w:ind w:left="0" w:firstLine="0"/>
            </w:pPr>
          </w:p>
        </w:tc>
        <w:tc>
          <w:tcPr>
            <w:tcW w:w="1533" w:type="dxa"/>
            <w:gridSpan w:val="2"/>
            <w:tcBorders>
              <w:top w:val="single" w:sz="6" w:space="0" w:color="auto"/>
              <w:left w:val="single" w:sz="6" w:space="0" w:color="auto"/>
              <w:bottom w:val="single" w:sz="6" w:space="0" w:color="auto"/>
              <w:right w:val="single" w:sz="12" w:space="0" w:color="auto"/>
            </w:tcBorders>
          </w:tcPr>
          <w:p w14:paraId="5F868619" w14:textId="77777777" w:rsidR="00B5562A" w:rsidRDefault="00B5562A">
            <w:pPr>
              <w:pStyle w:val="List"/>
              <w:ind w:left="0" w:firstLine="0"/>
            </w:pPr>
          </w:p>
        </w:tc>
      </w:tr>
      <w:tr w:rsidR="00B5562A" w14:paraId="477E648E" w14:textId="77777777" w:rsidTr="00DB272A">
        <w:trPr>
          <w:gridBefore w:val="1"/>
          <w:wBefore w:w="118" w:type="dxa"/>
        </w:trPr>
        <w:tc>
          <w:tcPr>
            <w:tcW w:w="1283" w:type="dxa"/>
            <w:tcBorders>
              <w:top w:val="single" w:sz="6" w:space="0" w:color="auto"/>
              <w:left w:val="single" w:sz="12" w:space="0" w:color="auto"/>
              <w:bottom w:val="single" w:sz="6" w:space="0" w:color="auto"/>
              <w:right w:val="single" w:sz="6" w:space="0" w:color="auto"/>
            </w:tcBorders>
          </w:tcPr>
          <w:p w14:paraId="35C435D5"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43520AB7" w14:textId="77777777" w:rsidR="00B5562A" w:rsidRDefault="00B5562A">
            <w:pPr>
              <w:pStyle w:val="List"/>
              <w:ind w:left="0" w:firstLine="0"/>
            </w:pPr>
          </w:p>
        </w:tc>
        <w:tc>
          <w:tcPr>
            <w:tcW w:w="3707" w:type="dxa"/>
            <w:gridSpan w:val="3"/>
            <w:tcBorders>
              <w:top w:val="single" w:sz="6" w:space="0" w:color="auto"/>
              <w:left w:val="single" w:sz="6" w:space="0" w:color="auto"/>
              <w:bottom w:val="single" w:sz="6" w:space="0" w:color="auto"/>
              <w:right w:val="single" w:sz="6" w:space="0" w:color="auto"/>
            </w:tcBorders>
          </w:tcPr>
          <w:p w14:paraId="3D71DC42"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541B9848" w14:textId="77777777" w:rsidR="00B5562A" w:rsidRDefault="00B5562A">
            <w:pPr>
              <w:pStyle w:val="List"/>
              <w:ind w:left="0" w:firstLine="0"/>
            </w:pPr>
          </w:p>
        </w:tc>
        <w:tc>
          <w:tcPr>
            <w:tcW w:w="1533" w:type="dxa"/>
            <w:gridSpan w:val="2"/>
            <w:tcBorders>
              <w:top w:val="single" w:sz="6" w:space="0" w:color="auto"/>
              <w:left w:val="single" w:sz="6" w:space="0" w:color="auto"/>
              <w:bottom w:val="single" w:sz="6" w:space="0" w:color="auto"/>
              <w:right w:val="single" w:sz="12" w:space="0" w:color="auto"/>
            </w:tcBorders>
          </w:tcPr>
          <w:p w14:paraId="41ADE6DC" w14:textId="77777777" w:rsidR="00B5562A" w:rsidRDefault="00B5562A">
            <w:pPr>
              <w:pStyle w:val="List"/>
              <w:ind w:left="0" w:firstLine="0"/>
            </w:pPr>
          </w:p>
        </w:tc>
      </w:tr>
      <w:tr w:rsidR="00B5562A" w14:paraId="3E77DC2D" w14:textId="77777777" w:rsidTr="00DB272A">
        <w:trPr>
          <w:gridBefore w:val="1"/>
          <w:wBefore w:w="118" w:type="dxa"/>
        </w:trPr>
        <w:tc>
          <w:tcPr>
            <w:tcW w:w="1283" w:type="dxa"/>
            <w:tcBorders>
              <w:top w:val="single" w:sz="6" w:space="0" w:color="auto"/>
              <w:left w:val="single" w:sz="12" w:space="0" w:color="auto"/>
              <w:bottom w:val="single" w:sz="12" w:space="0" w:color="auto"/>
              <w:right w:val="single" w:sz="6" w:space="0" w:color="auto"/>
            </w:tcBorders>
          </w:tcPr>
          <w:p w14:paraId="56E4853C" w14:textId="77777777" w:rsidR="00B5562A" w:rsidRDefault="00B5562A">
            <w:pPr>
              <w:pStyle w:val="List"/>
              <w:ind w:left="0" w:firstLine="0"/>
            </w:pPr>
          </w:p>
        </w:tc>
        <w:tc>
          <w:tcPr>
            <w:tcW w:w="1996" w:type="dxa"/>
            <w:tcBorders>
              <w:top w:val="single" w:sz="6" w:space="0" w:color="auto"/>
              <w:left w:val="single" w:sz="6" w:space="0" w:color="auto"/>
              <w:bottom w:val="single" w:sz="12" w:space="0" w:color="auto"/>
              <w:right w:val="single" w:sz="6" w:space="0" w:color="auto"/>
            </w:tcBorders>
          </w:tcPr>
          <w:p w14:paraId="17D82CFC" w14:textId="77777777" w:rsidR="00B5562A" w:rsidRDefault="00B5562A">
            <w:pPr>
              <w:pStyle w:val="List"/>
              <w:ind w:left="0" w:firstLine="0"/>
            </w:pPr>
          </w:p>
        </w:tc>
        <w:tc>
          <w:tcPr>
            <w:tcW w:w="3707" w:type="dxa"/>
            <w:gridSpan w:val="3"/>
            <w:tcBorders>
              <w:top w:val="single" w:sz="6" w:space="0" w:color="auto"/>
              <w:left w:val="single" w:sz="6" w:space="0" w:color="auto"/>
              <w:bottom w:val="single" w:sz="12" w:space="0" w:color="auto"/>
              <w:right w:val="single" w:sz="6" w:space="0" w:color="auto"/>
            </w:tcBorders>
          </w:tcPr>
          <w:p w14:paraId="5B427F62" w14:textId="77777777" w:rsidR="00B5562A" w:rsidRDefault="00B5562A">
            <w:pPr>
              <w:pStyle w:val="List"/>
              <w:ind w:left="0" w:firstLine="0"/>
            </w:pPr>
          </w:p>
        </w:tc>
        <w:tc>
          <w:tcPr>
            <w:tcW w:w="2281" w:type="dxa"/>
            <w:tcBorders>
              <w:top w:val="single" w:sz="6" w:space="0" w:color="auto"/>
              <w:left w:val="single" w:sz="6" w:space="0" w:color="auto"/>
              <w:bottom w:val="single" w:sz="12" w:space="0" w:color="auto"/>
              <w:right w:val="single" w:sz="6" w:space="0" w:color="auto"/>
            </w:tcBorders>
          </w:tcPr>
          <w:p w14:paraId="211DC984" w14:textId="77777777" w:rsidR="00B5562A" w:rsidRDefault="00B5562A">
            <w:pPr>
              <w:pStyle w:val="List"/>
              <w:ind w:left="0" w:firstLine="0"/>
            </w:pPr>
          </w:p>
        </w:tc>
        <w:tc>
          <w:tcPr>
            <w:tcW w:w="1533" w:type="dxa"/>
            <w:gridSpan w:val="2"/>
            <w:tcBorders>
              <w:top w:val="single" w:sz="6" w:space="0" w:color="auto"/>
              <w:left w:val="single" w:sz="6" w:space="0" w:color="auto"/>
              <w:bottom w:val="single" w:sz="12" w:space="0" w:color="auto"/>
              <w:right w:val="single" w:sz="12" w:space="0" w:color="auto"/>
            </w:tcBorders>
          </w:tcPr>
          <w:p w14:paraId="0EC88A8C" w14:textId="77777777" w:rsidR="00B5562A" w:rsidRDefault="00B5562A">
            <w:pPr>
              <w:pStyle w:val="List"/>
              <w:ind w:left="0" w:firstLine="0"/>
            </w:pPr>
          </w:p>
        </w:tc>
      </w:tr>
      <w:tr w:rsidR="00B5562A" w14:paraId="7F69079B"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1008"/>
          <w:tblHeader/>
        </w:trPr>
        <w:tc>
          <w:tcPr>
            <w:tcW w:w="5895" w:type="dxa"/>
            <w:gridSpan w:val="4"/>
            <w:shd w:val="clear" w:color="auto" w:fill="E0E0E0"/>
            <w:vAlign w:val="bottom"/>
          </w:tcPr>
          <w:p w14:paraId="33B57EC5" w14:textId="77777777" w:rsidR="00B5562A" w:rsidRDefault="00B5562A">
            <w:pPr>
              <w:rPr>
                <w:b/>
                <w:bCs/>
              </w:rPr>
            </w:pPr>
            <w:r>
              <w:rPr>
                <w:b/>
                <w:bCs/>
              </w:rPr>
              <w:lastRenderedPageBreak/>
              <w:t>Test Date Selected:</w:t>
            </w:r>
          </w:p>
        </w:tc>
        <w:tc>
          <w:tcPr>
            <w:tcW w:w="1050" w:type="dxa"/>
            <w:tcBorders>
              <w:bottom w:val="single" w:sz="4" w:space="0" w:color="auto"/>
            </w:tcBorders>
            <w:shd w:val="clear" w:color="auto" w:fill="E0E0E0"/>
          </w:tcPr>
          <w:p w14:paraId="54CD2927" w14:textId="77777777" w:rsidR="00B5562A" w:rsidRDefault="00B5562A">
            <w:pPr>
              <w:pStyle w:val="Header"/>
              <w:tabs>
                <w:tab w:val="clear" w:pos="4320"/>
                <w:tab w:val="clear" w:pos="8640"/>
              </w:tabs>
              <w:rPr>
                <w:rFonts w:ascii="Times New Roman" w:hAnsi="Times New Roman" w:cs="Times New Roman"/>
              </w:rPr>
            </w:pPr>
            <w:r>
              <w:rPr>
                <w:rFonts w:ascii="Times New Roman" w:hAnsi="Times New Roman" w:cs="Times New Roman"/>
              </w:rPr>
              <w:t>Step completed without exception</w:t>
            </w:r>
          </w:p>
        </w:tc>
        <w:tc>
          <w:tcPr>
            <w:tcW w:w="3693" w:type="dxa"/>
            <w:gridSpan w:val="3"/>
            <w:tcBorders>
              <w:bottom w:val="single" w:sz="4" w:space="0" w:color="auto"/>
            </w:tcBorders>
            <w:shd w:val="clear" w:color="auto" w:fill="E0E0E0"/>
          </w:tcPr>
          <w:p w14:paraId="5DB091FC" w14:textId="77777777" w:rsidR="00B5562A" w:rsidRDefault="00B5562A">
            <w:pPr>
              <w:rPr>
                <w:rFonts w:ascii="Arial" w:hAnsi="Arial" w:cs="Arial"/>
              </w:rPr>
            </w:pPr>
          </w:p>
          <w:p w14:paraId="59DD6210" w14:textId="77777777" w:rsidR="00B5562A" w:rsidRDefault="00B5562A">
            <w:pPr>
              <w:rPr>
                <w:rFonts w:ascii="Arial" w:hAnsi="Arial" w:cs="Arial"/>
              </w:rPr>
            </w:pPr>
          </w:p>
          <w:p w14:paraId="1D07E0C6" w14:textId="77777777" w:rsidR="00B5562A" w:rsidRDefault="00B5562A">
            <w:pPr>
              <w:rPr>
                <w:rFonts w:ascii="Arial" w:hAnsi="Arial" w:cs="Arial"/>
              </w:rPr>
            </w:pPr>
          </w:p>
          <w:p w14:paraId="5246C10E" w14:textId="77777777" w:rsidR="00B5562A" w:rsidRDefault="00B5562A">
            <w:pPr>
              <w:jc w:val="center"/>
            </w:pPr>
            <w:r>
              <w:t>Exception/Comment</w:t>
            </w:r>
          </w:p>
        </w:tc>
      </w:tr>
      <w:tr w:rsidR="00B5562A" w14:paraId="252E91FE"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553A902" w14:textId="77777777" w:rsidR="00DB272A" w:rsidRDefault="00B5562A" w:rsidP="0026719C">
            <w:pPr>
              <w:numPr>
                <w:ilvl w:val="0"/>
                <w:numId w:val="2"/>
              </w:numPr>
            </w:pPr>
            <w:r>
              <w:t xml:space="preserve">Review prior internal audit reports.  Schedule any relevant exceptions cited, including those cited by the </w:t>
            </w:r>
            <w:r w:rsidR="00BD55C0">
              <w:t>N</w:t>
            </w:r>
            <w:r>
              <w:t>GCB or the CPA, or include a copy of the prior audit reports in the workpapers and follow-up on any problems noted.  Duplication of exceptions when the CPA is referring to exceptions reported in internal audit reports is not necessary.</w:t>
            </w:r>
          </w:p>
          <w:p w14:paraId="7B55B71F" w14:textId="4E36547A" w:rsidR="00DD49AB" w:rsidRDefault="00DD49AB" w:rsidP="00DD49AB">
            <w:pPr>
              <w:ind w:left="360"/>
            </w:pPr>
          </w:p>
        </w:tc>
        <w:tc>
          <w:tcPr>
            <w:tcW w:w="1050" w:type="dxa"/>
          </w:tcPr>
          <w:p w14:paraId="225F1D2B" w14:textId="77777777" w:rsidR="00B5562A" w:rsidRDefault="00B5562A">
            <w:pPr>
              <w:rPr>
                <w:rFonts w:ascii="Arial" w:hAnsi="Arial" w:cs="Arial"/>
              </w:rPr>
            </w:pPr>
          </w:p>
        </w:tc>
        <w:tc>
          <w:tcPr>
            <w:tcW w:w="3693" w:type="dxa"/>
            <w:gridSpan w:val="3"/>
          </w:tcPr>
          <w:p w14:paraId="35EECCAB" w14:textId="77777777" w:rsidR="00B5562A" w:rsidRDefault="00B5562A">
            <w:pPr>
              <w:rPr>
                <w:rFonts w:ascii="Arial" w:hAnsi="Arial" w:cs="Arial"/>
              </w:rPr>
            </w:pPr>
          </w:p>
        </w:tc>
      </w:tr>
      <w:tr w:rsidR="00B5562A" w14:paraId="002910DB" w14:textId="77777777" w:rsidTr="001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2321"/>
        </w:trPr>
        <w:tc>
          <w:tcPr>
            <w:tcW w:w="5895" w:type="dxa"/>
            <w:gridSpan w:val="4"/>
            <w:tcMar>
              <w:left w:w="115" w:type="dxa"/>
              <w:bottom w:w="144" w:type="dxa"/>
              <w:right w:w="115" w:type="dxa"/>
            </w:tcMar>
          </w:tcPr>
          <w:p w14:paraId="06A376E6" w14:textId="77777777" w:rsidR="00B5562A" w:rsidRDefault="00B5562A" w:rsidP="0026719C">
            <w:pPr>
              <w:numPr>
                <w:ilvl w:val="0"/>
                <w:numId w:val="2"/>
              </w:numPr>
            </w:pPr>
            <w:r>
              <w:t xml:space="preserve">Foot the weighed/metered count sheets or tapes for one denomination.  Trace the totals for each denomination to the </w:t>
            </w:r>
            <w:r w:rsidR="00363999" w:rsidRPr="00EC6910">
              <w:t>coin count document or</w:t>
            </w:r>
            <w:r w:rsidR="00363999" w:rsidRPr="00363999">
              <w:t xml:space="preserve"> </w:t>
            </w:r>
            <w:r>
              <w:t xml:space="preserve">summary </w:t>
            </w:r>
            <w:r w:rsidR="00363999" w:rsidRPr="00EC6910">
              <w:t>report</w:t>
            </w:r>
            <w:r w:rsidR="00363999" w:rsidRPr="00363999">
              <w:t xml:space="preserve"> </w:t>
            </w:r>
            <w:r>
              <w:t xml:space="preserve">and slot analysis report.  </w:t>
            </w:r>
            <w:r>
              <w:rPr>
                <w:b/>
                <w:bCs/>
              </w:rPr>
              <w:t>(Revenue)</w:t>
            </w:r>
          </w:p>
          <w:p w14:paraId="4814FCD1" w14:textId="77777777" w:rsidR="00B5562A" w:rsidRPr="00DD49AB" w:rsidRDefault="00B5562A">
            <w:pPr>
              <w:rPr>
                <w:b/>
                <w:bCs/>
                <w:szCs w:val="12"/>
              </w:rPr>
            </w:pPr>
          </w:p>
          <w:p w14:paraId="6833BEA8" w14:textId="77777777" w:rsidR="00B5562A" w:rsidRDefault="00B5562A">
            <w:pPr>
              <w:ind w:left="353"/>
            </w:pPr>
            <w:r>
              <w:rPr>
                <w:b/>
                <w:bCs/>
              </w:rPr>
              <w:t xml:space="preserve">Note 1:  </w:t>
            </w:r>
            <w:r>
              <w:t>If the slot analysis report does not have a daily total, foot the daily totals on the appropriate daily slot summaries and trace to the current period total on the slot analysis report.</w:t>
            </w:r>
          </w:p>
          <w:p w14:paraId="24261FFB" w14:textId="77777777" w:rsidR="00B5562A" w:rsidRPr="00DD49AB" w:rsidRDefault="00B5562A">
            <w:pPr>
              <w:ind w:left="353"/>
              <w:rPr>
                <w:szCs w:val="12"/>
              </w:rPr>
            </w:pPr>
          </w:p>
          <w:p w14:paraId="65A597B4" w14:textId="7E41F1B7" w:rsidR="00DB272A" w:rsidRPr="00176C58" w:rsidRDefault="00B5562A" w:rsidP="00176C58">
            <w:pPr>
              <w:ind w:left="360"/>
            </w:pPr>
            <w:r>
              <w:rPr>
                <w:b/>
                <w:bCs/>
              </w:rPr>
              <w:t xml:space="preserve">Note 2:  </w:t>
            </w:r>
            <w:r>
              <w:t>If the count sheet is manually prepared, all denominations must be footed.</w:t>
            </w:r>
          </w:p>
        </w:tc>
        <w:tc>
          <w:tcPr>
            <w:tcW w:w="1050" w:type="dxa"/>
            <w:tcBorders>
              <w:bottom w:val="single" w:sz="4" w:space="0" w:color="auto"/>
            </w:tcBorders>
          </w:tcPr>
          <w:p w14:paraId="1CB9C516" w14:textId="77777777" w:rsidR="00B5562A" w:rsidRDefault="00B5562A">
            <w:pPr>
              <w:rPr>
                <w:rFonts w:ascii="Arial" w:hAnsi="Arial" w:cs="Arial"/>
              </w:rPr>
            </w:pPr>
          </w:p>
        </w:tc>
        <w:tc>
          <w:tcPr>
            <w:tcW w:w="3693" w:type="dxa"/>
            <w:gridSpan w:val="3"/>
            <w:tcBorders>
              <w:bottom w:val="single" w:sz="4" w:space="0" w:color="auto"/>
            </w:tcBorders>
          </w:tcPr>
          <w:p w14:paraId="1DCA97AA" w14:textId="77777777" w:rsidR="00B5562A" w:rsidRDefault="00B5562A">
            <w:pPr>
              <w:rPr>
                <w:rFonts w:ascii="Arial" w:hAnsi="Arial" w:cs="Arial"/>
              </w:rPr>
            </w:pPr>
          </w:p>
        </w:tc>
      </w:tr>
      <w:tr w:rsidR="00B5562A" w14:paraId="6145CE8A" w14:textId="77777777" w:rsidTr="001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1853"/>
        </w:trPr>
        <w:tc>
          <w:tcPr>
            <w:tcW w:w="5895" w:type="dxa"/>
            <w:gridSpan w:val="4"/>
            <w:tcMar>
              <w:left w:w="115" w:type="dxa"/>
              <w:bottom w:w="0" w:type="dxa"/>
              <w:right w:w="115" w:type="dxa"/>
            </w:tcMar>
          </w:tcPr>
          <w:p w14:paraId="42784899" w14:textId="77777777" w:rsidR="00B5562A" w:rsidRDefault="00B5562A" w:rsidP="0026719C">
            <w:pPr>
              <w:numPr>
                <w:ilvl w:val="0"/>
                <w:numId w:val="2"/>
              </w:numPr>
              <w:rPr>
                <w:sz w:val="8"/>
              </w:rPr>
            </w:pPr>
            <w:r>
              <w:t>Review the wrapped count sheet (</w:t>
            </w:r>
            <w:r w:rsidR="00363999" w:rsidRPr="00EC6910">
              <w:t xml:space="preserve">coin </w:t>
            </w:r>
            <w:r w:rsidRPr="00EC6910">
              <w:t xml:space="preserve">count </w:t>
            </w:r>
            <w:r w:rsidR="00363999" w:rsidRPr="00EC6910">
              <w:t xml:space="preserve">document or </w:t>
            </w:r>
            <w:r>
              <w:t xml:space="preserve">summary report) and trace the count team members to the quarterly count personnel list required by </w:t>
            </w:r>
            <w:r>
              <w:rPr>
                <w:b/>
                <w:bCs/>
              </w:rPr>
              <w:t>Regulation 6.130</w:t>
            </w:r>
            <w:r>
              <w:t>.</w:t>
            </w:r>
          </w:p>
          <w:p w14:paraId="1B85E16A" w14:textId="77777777" w:rsidR="00B5562A" w:rsidRPr="00DD49AB" w:rsidRDefault="00B5562A">
            <w:pPr>
              <w:rPr>
                <w:szCs w:val="12"/>
              </w:rPr>
            </w:pPr>
          </w:p>
          <w:p w14:paraId="7A255A79" w14:textId="77BE6A1A" w:rsidR="00DD49AB" w:rsidRDefault="00B5562A" w:rsidP="00DD49AB">
            <w:pPr>
              <w:spacing w:after="120"/>
              <w:ind w:left="360"/>
            </w:pPr>
            <w:r>
              <w:rPr>
                <w:b/>
                <w:bCs/>
              </w:rPr>
              <w:t xml:space="preserve">Note:  </w:t>
            </w:r>
            <w:r>
              <w:t>If the test date falls in the current quarter and an employee was hired during the current quarter, indicate the date the employee started in the count and complete the step for this employee during the next slot department contact.</w:t>
            </w:r>
          </w:p>
        </w:tc>
        <w:tc>
          <w:tcPr>
            <w:tcW w:w="1050" w:type="dxa"/>
            <w:tcBorders>
              <w:bottom w:val="single" w:sz="4" w:space="0" w:color="auto"/>
            </w:tcBorders>
            <w:shd w:val="clear" w:color="auto" w:fill="auto"/>
          </w:tcPr>
          <w:p w14:paraId="060CD24A" w14:textId="77777777" w:rsidR="00B5562A" w:rsidRDefault="00B5562A">
            <w:pPr>
              <w:rPr>
                <w:rFonts w:ascii="Arial" w:hAnsi="Arial" w:cs="Arial"/>
              </w:rPr>
            </w:pPr>
          </w:p>
        </w:tc>
        <w:tc>
          <w:tcPr>
            <w:tcW w:w="3693" w:type="dxa"/>
            <w:gridSpan w:val="3"/>
            <w:tcBorders>
              <w:bottom w:val="single" w:sz="4" w:space="0" w:color="auto"/>
            </w:tcBorders>
            <w:shd w:val="clear" w:color="auto" w:fill="auto"/>
          </w:tcPr>
          <w:p w14:paraId="34EC1DF3" w14:textId="77777777" w:rsidR="00B5562A" w:rsidRDefault="00B5562A">
            <w:pPr>
              <w:rPr>
                <w:rFonts w:ascii="Arial" w:hAnsi="Arial" w:cs="Arial"/>
              </w:rPr>
            </w:pPr>
          </w:p>
        </w:tc>
      </w:tr>
      <w:tr w:rsidR="00B5562A" w14:paraId="7D7272D9"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4E11671D" w14:textId="77777777" w:rsidR="00B5562A" w:rsidRDefault="00B5562A" w:rsidP="0026719C">
            <w:pPr>
              <w:numPr>
                <w:ilvl w:val="0"/>
                <w:numId w:val="2"/>
              </w:numPr>
            </w:pPr>
            <w:r>
              <w:t xml:space="preserve">Review the currency acceptor </w:t>
            </w:r>
            <w:r w:rsidR="00363999" w:rsidRPr="00EC6910">
              <w:t>slot count document</w:t>
            </w:r>
            <w:r w:rsidR="00363999">
              <w:t xml:space="preserve"> </w:t>
            </w:r>
            <w:r>
              <w:t xml:space="preserve">and trace the count team members to the quarterly count personnel list required by </w:t>
            </w:r>
            <w:r>
              <w:rPr>
                <w:b/>
                <w:bCs/>
              </w:rPr>
              <w:t>Regulation 6.130</w:t>
            </w:r>
            <w:r>
              <w:t>.</w:t>
            </w:r>
          </w:p>
          <w:p w14:paraId="0CAD9B5B" w14:textId="77777777" w:rsidR="00B5562A" w:rsidRPr="00DD49AB" w:rsidRDefault="00B5562A">
            <w:pPr>
              <w:rPr>
                <w:b/>
                <w:bCs/>
                <w:szCs w:val="12"/>
              </w:rPr>
            </w:pPr>
          </w:p>
          <w:p w14:paraId="7B2DA109" w14:textId="77777777" w:rsidR="00B5562A" w:rsidRDefault="00B5562A" w:rsidP="00F26A92">
            <w:pPr>
              <w:spacing w:after="120"/>
              <w:ind w:left="360"/>
            </w:pPr>
            <w:r>
              <w:rPr>
                <w:b/>
                <w:bCs/>
              </w:rPr>
              <w:t xml:space="preserve">Note:  </w:t>
            </w:r>
            <w:r>
              <w:t>If the test date falls in the current quarter and an employee was hired during the current quarter, indicate the date the employee started in the count and complete the step for this employee during the next slot department contact.</w:t>
            </w:r>
          </w:p>
        </w:tc>
        <w:tc>
          <w:tcPr>
            <w:tcW w:w="1050" w:type="dxa"/>
            <w:shd w:val="clear" w:color="auto" w:fill="auto"/>
          </w:tcPr>
          <w:p w14:paraId="2087D234" w14:textId="77777777" w:rsidR="00B5562A" w:rsidRDefault="00B5562A">
            <w:pPr>
              <w:rPr>
                <w:rFonts w:ascii="Arial" w:hAnsi="Arial" w:cs="Arial"/>
              </w:rPr>
            </w:pPr>
          </w:p>
        </w:tc>
        <w:tc>
          <w:tcPr>
            <w:tcW w:w="3693" w:type="dxa"/>
            <w:gridSpan w:val="3"/>
            <w:shd w:val="clear" w:color="auto" w:fill="auto"/>
          </w:tcPr>
          <w:p w14:paraId="1597D927" w14:textId="77777777" w:rsidR="00B5562A" w:rsidRDefault="00B5562A">
            <w:pPr>
              <w:rPr>
                <w:rFonts w:ascii="Arial" w:hAnsi="Arial" w:cs="Arial"/>
              </w:rPr>
            </w:pPr>
          </w:p>
        </w:tc>
      </w:tr>
      <w:tr w:rsidR="00B5562A" w14:paraId="27AA70F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2AACEC30" w14:textId="77777777" w:rsidR="00B5562A" w:rsidRDefault="00B5562A" w:rsidP="0026719C">
            <w:pPr>
              <w:numPr>
                <w:ilvl w:val="0"/>
                <w:numId w:val="2"/>
              </w:numPr>
              <w:rPr>
                <w:b/>
                <w:bCs/>
              </w:rPr>
            </w:pPr>
            <w:r>
              <w:t xml:space="preserve">If the count sheet is manually prepared, foot and cross-foot all denominations on the currency acceptor </w:t>
            </w:r>
            <w:r w:rsidR="00C02990" w:rsidRPr="00EC6910">
              <w:t>count document</w:t>
            </w:r>
            <w:r>
              <w:t xml:space="preserve">.  </w:t>
            </w:r>
            <w:r>
              <w:rPr>
                <w:b/>
                <w:bCs/>
              </w:rPr>
              <w:t>(Revenue)</w:t>
            </w:r>
          </w:p>
        </w:tc>
        <w:tc>
          <w:tcPr>
            <w:tcW w:w="1050" w:type="dxa"/>
          </w:tcPr>
          <w:p w14:paraId="46EDC2EE" w14:textId="77777777" w:rsidR="00B5562A" w:rsidRDefault="00B5562A">
            <w:pPr>
              <w:rPr>
                <w:rFonts w:ascii="Arial" w:hAnsi="Arial" w:cs="Arial"/>
              </w:rPr>
            </w:pPr>
          </w:p>
        </w:tc>
        <w:tc>
          <w:tcPr>
            <w:tcW w:w="3693" w:type="dxa"/>
            <w:gridSpan w:val="3"/>
          </w:tcPr>
          <w:p w14:paraId="2A5C07F8" w14:textId="77777777" w:rsidR="00B5562A" w:rsidRDefault="00B5562A">
            <w:pPr>
              <w:rPr>
                <w:rFonts w:ascii="Arial" w:hAnsi="Arial" w:cs="Arial"/>
              </w:rPr>
            </w:pPr>
          </w:p>
        </w:tc>
      </w:tr>
      <w:tr w:rsidR="00B5562A" w14:paraId="055BEFCE"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0BC6C3A" w14:textId="77777777" w:rsidR="00B5562A" w:rsidRDefault="00B5562A" w:rsidP="0026719C">
            <w:pPr>
              <w:pStyle w:val="List"/>
              <w:numPr>
                <w:ilvl w:val="0"/>
                <w:numId w:val="2"/>
              </w:numPr>
            </w:pPr>
            <w:r>
              <w:lastRenderedPageBreak/>
              <w:t xml:space="preserve">Trace the currency acceptor count totals </w:t>
            </w:r>
            <w:r w:rsidR="00C02990" w:rsidRPr="00EC6910">
              <w:t>on the currency acceptor count document</w:t>
            </w:r>
            <w:r w:rsidR="00C02990" w:rsidRPr="00C02990">
              <w:t xml:space="preserve"> </w:t>
            </w:r>
            <w:r>
              <w:t xml:space="preserve">to the slot analysis report. </w:t>
            </w:r>
            <w:r>
              <w:rPr>
                <w:b/>
                <w:bCs/>
              </w:rPr>
              <w:t>(Revenue)</w:t>
            </w:r>
            <w:r>
              <w:t xml:space="preserve">  </w:t>
            </w:r>
          </w:p>
          <w:p w14:paraId="6790C542" w14:textId="77777777" w:rsidR="00B5562A" w:rsidRPr="00EF4F32" w:rsidRDefault="00B5562A">
            <w:pPr>
              <w:rPr>
                <w:b/>
                <w:bCs/>
                <w:szCs w:val="12"/>
              </w:rPr>
            </w:pPr>
          </w:p>
          <w:p w14:paraId="21E4933A" w14:textId="77777777" w:rsidR="00A71BAD" w:rsidRDefault="00B5562A" w:rsidP="00DD49AB">
            <w:pPr>
              <w:ind w:left="353"/>
            </w:pPr>
            <w:r>
              <w:rPr>
                <w:b/>
                <w:bCs/>
              </w:rPr>
              <w:t xml:space="preserve">Note:  </w:t>
            </w:r>
            <w:r w:rsidR="00C92E1D" w:rsidRPr="00EC6910">
              <w:t>If the slot analysis report does not have a daily total, foot the currency acceptor count totals on the appropriate currency acceptor count documents and trace to the current period total on the slot analysis report</w:t>
            </w:r>
            <w:r w:rsidR="00C92E1D">
              <w:t>.</w:t>
            </w:r>
          </w:p>
          <w:p w14:paraId="37EC6D2A" w14:textId="5EF96D57" w:rsidR="00DD49AB" w:rsidRPr="00EF4F32" w:rsidRDefault="00DD49AB" w:rsidP="00DD49AB"/>
        </w:tc>
        <w:tc>
          <w:tcPr>
            <w:tcW w:w="1050" w:type="dxa"/>
          </w:tcPr>
          <w:p w14:paraId="0424A53A" w14:textId="77777777" w:rsidR="00B5562A" w:rsidRDefault="00B5562A">
            <w:pPr>
              <w:rPr>
                <w:rFonts w:ascii="Arial" w:hAnsi="Arial" w:cs="Arial"/>
              </w:rPr>
            </w:pPr>
          </w:p>
        </w:tc>
        <w:tc>
          <w:tcPr>
            <w:tcW w:w="3693" w:type="dxa"/>
            <w:gridSpan w:val="3"/>
          </w:tcPr>
          <w:p w14:paraId="0CE341B2" w14:textId="77777777" w:rsidR="00B5562A" w:rsidRDefault="00B5562A">
            <w:pPr>
              <w:rPr>
                <w:rFonts w:ascii="Arial" w:hAnsi="Arial" w:cs="Arial"/>
              </w:rPr>
            </w:pPr>
          </w:p>
        </w:tc>
      </w:tr>
      <w:tr w:rsidR="00B5562A" w14:paraId="0EC26545"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30B76C5" w14:textId="77777777" w:rsidR="00B5562A" w:rsidRDefault="00B5562A" w:rsidP="0026719C">
            <w:pPr>
              <w:numPr>
                <w:ilvl w:val="0"/>
                <w:numId w:val="2"/>
              </w:numPr>
            </w:pPr>
            <w:r>
              <w:t>Trace the wagering instruments count totals</w:t>
            </w:r>
            <w:r w:rsidR="00C02990">
              <w:t xml:space="preserve"> </w:t>
            </w:r>
            <w:r w:rsidR="00C02990" w:rsidRPr="00EC6910">
              <w:t>on the currency acceptor count document</w:t>
            </w:r>
            <w:r w:rsidRPr="00EC6910">
              <w:t>,</w:t>
            </w:r>
            <w:r>
              <w:t xml:space="preserve"> if applicable, to the slot analysis report.  </w:t>
            </w:r>
            <w:r>
              <w:rPr>
                <w:b/>
                <w:bCs/>
              </w:rPr>
              <w:t>(Revenue)</w:t>
            </w:r>
          </w:p>
          <w:p w14:paraId="59D8419A" w14:textId="77777777" w:rsidR="00B5562A" w:rsidRPr="00176C58" w:rsidRDefault="00B5562A">
            <w:pPr>
              <w:rPr>
                <w:b/>
                <w:bCs/>
                <w:sz w:val="16"/>
                <w:szCs w:val="12"/>
              </w:rPr>
            </w:pPr>
          </w:p>
          <w:p w14:paraId="28C62B25" w14:textId="77777777" w:rsidR="00A71BAD" w:rsidRDefault="00B5562A" w:rsidP="00DD49AB">
            <w:pPr>
              <w:ind w:left="353"/>
            </w:pPr>
            <w:r>
              <w:rPr>
                <w:b/>
                <w:bCs/>
              </w:rPr>
              <w:t xml:space="preserve">Note:  </w:t>
            </w:r>
            <w:r w:rsidRPr="00EC6910">
              <w:t xml:space="preserve">If the slot analysis report does not have a daily total, foot the </w:t>
            </w:r>
            <w:r w:rsidR="00C92E1D" w:rsidRPr="00EC6910">
              <w:t xml:space="preserve">currency acceptor count </w:t>
            </w:r>
            <w:r w:rsidRPr="00EC6910">
              <w:t xml:space="preserve">totals on the appropriate </w:t>
            </w:r>
            <w:r w:rsidR="00C92E1D" w:rsidRPr="00EC6910">
              <w:t xml:space="preserve">currency acceptor count documents </w:t>
            </w:r>
            <w:r w:rsidRPr="00EC6910">
              <w:t>and trace to the current period total on the slot analysis report</w:t>
            </w:r>
            <w:r>
              <w:t>.</w:t>
            </w:r>
          </w:p>
          <w:p w14:paraId="58598936" w14:textId="58F0CBC5" w:rsidR="00DD49AB" w:rsidRPr="00EF4F32" w:rsidRDefault="00DD49AB" w:rsidP="00DD49AB"/>
        </w:tc>
        <w:tc>
          <w:tcPr>
            <w:tcW w:w="1050" w:type="dxa"/>
          </w:tcPr>
          <w:p w14:paraId="7DF1B567" w14:textId="77777777" w:rsidR="00B5562A" w:rsidRDefault="00B5562A">
            <w:pPr>
              <w:rPr>
                <w:rFonts w:ascii="Arial" w:hAnsi="Arial" w:cs="Arial"/>
              </w:rPr>
            </w:pPr>
          </w:p>
        </w:tc>
        <w:tc>
          <w:tcPr>
            <w:tcW w:w="3693" w:type="dxa"/>
            <w:gridSpan w:val="3"/>
          </w:tcPr>
          <w:p w14:paraId="3CC939FD" w14:textId="77777777" w:rsidR="00B5562A" w:rsidRDefault="00B5562A">
            <w:pPr>
              <w:rPr>
                <w:rFonts w:ascii="Arial" w:hAnsi="Arial" w:cs="Arial"/>
              </w:rPr>
            </w:pPr>
          </w:p>
        </w:tc>
      </w:tr>
      <w:tr w:rsidR="00B5562A" w14:paraId="5999AAD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2B3D10C" w14:textId="5571F777" w:rsidR="00B5562A" w:rsidRPr="00DD49AB" w:rsidRDefault="00C92E1D" w:rsidP="0026719C">
            <w:pPr>
              <w:numPr>
                <w:ilvl w:val="0"/>
                <w:numId w:val="2"/>
              </w:numPr>
            </w:pPr>
            <w:r w:rsidRPr="00EC6910">
              <w:t xml:space="preserve">Foot </w:t>
            </w:r>
            <w:r w:rsidR="00B5562A" w:rsidRPr="00EC6910">
              <w:t>the jackpot tickets (including promotional payout</w:t>
            </w:r>
            <w:r w:rsidRPr="00EC6910">
              <w:t>, short pays, and canceled credits</w:t>
            </w:r>
            <w:r w:rsidR="00B5562A" w:rsidRPr="00EC6910">
              <w:t xml:space="preserve"> slips, if applicable) and slot fill slips and trace the total to the </w:t>
            </w:r>
            <w:r w:rsidR="005E0D68" w:rsidRPr="00EC6910">
              <w:t xml:space="preserve">slot payouts report </w:t>
            </w:r>
            <w:r w:rsidR="00B5562A" w:rsidRPr="00EC6910">
              <w:t>and slot analysis report</w:t>
            </w:r>
            <w:r w:rsidR="00B5562A">
              <w:t xml:space="preserve">.  </w:t>
            </w:r>
            <w:r w:rsidR="00B5562A">
              <w:rPr>
                <w:b/>
                <w:bCs/>
              </w:rPr>
              <w:t>(Revenue)</w:t>
            </w:r>
          </w:p>
          <w:p w14:paraId="5767900D" w14:textId="77777777" w:rsidR="00B5562A" w:rsidRPr="00DD49AB" w:rsidRDefault="00B5562A">
            <w:pPr>
              <w:ind w:firstLine="353"/>
              <w:rPr>
                <w:szCs w:val="12"/>
              </w:rPr>
            </w:pPr>
          </w:p>
          <w:p w14:paraId="481DFE55" w14:textId="77777777" w:rsidR="00A71BAD" w:rsidRDefault="00B5562A" w:rsidP="00DD49AB">
            <w:pPr>
              <w:ind w:left="353"/>
            </w:pPr>
            <w:r>
              <w:rPr>
                <w:b/>
                <w:bCs/>
              </w:rPr>
              <w:t xml:space="preserve">Note:  </w:t>
            </w:r>
            <w:r>
              <w:t xml:space="preserve">If the slot analysis report does not have a daily total, foot the daily totals on the appropriate daily </w:t>
            </w:r>
            <w:r w:rsidR="005E0D68" w:rsidRPr="00EC6910">
              <w:t>slot payout reports</w:t>
            </w:r>
            <w:r w:rsidR="005E0D68" w:rsidRPr="005E0D68">
              <w:t xml:space="preserve"> </w:t>
            </w:r>
            <w:r>
              <w:t xml:space="preserve">and trace to the current period total on the slot analysis report. </w:t>
            </w:r>
          </w:p>
          <w:p w14:paraId="3B0E22A2" w14:textId="0A32561B" w:rsidR="00DD49AB" w:rsidRPr="00EF4F32" w:rsidRDefault="00DD49AB" w:rsidP="00DD49AB"/>
        </w:tc>
        <w:tc>
          <w:tcPr>
            <w:tcW w:w="1050" w:type="dxa"/>
            <w:tcBorders>
              <w:bottom w:val="single" w:sz="4" w:space="0" w:color="auto"/>
            </w:tcBorders>
          </w:tcPr>
          <w:p w14:paraId="28536783" w14:textId="77777777" w:rsidR="00B5562A" w:rsidRDefault="00B5562A">
            <w:pPr>
              <w:rPr>
                <w:rFonts w:ascii="Arial" w:hAnsi="Arial" w:cs="Arial"/>
              </w:rPr>
            </w:pPr>
          </w:p>
        </w:tc>
        <w:tc>
          <w:tcPr>
            <w:tcW w:w="3693" w:type="dxa"/>
            <w:gridSpan w:val="3"/>
            <w:tcBorders>
              <w:bottom w:val="single" w:sz="4" w:space="0" w:color="auto"/>
            </w:tcBorders>
          </w:tcPr>
          <w:p w14:paraId="22B6CB15" w14:textId="77777777" w:rsidR="00B5562A" w:rsidRDefault="00B5562A">
            <w:pPr>
              <w:rPr>
                <w:rFonts w:ascii="Arial" w:hAnsi="Arial" w:cs="Arial"/>
              </w:rPr>
            </w:pPr>
          </w:p>
        </w:tc>
      </w:tr>
      <w:tr w:rsidR="00B5562A" w14:paraId="7BBF5AA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1124"/>
        </w:trPr>
        <w:tc>
          <w:tcPr>
            <w:tcW w:w="5895" w:type="dxa"/>
            <w:gridSpan w:val="4"/>
            <w:tcMar>
              <w:left w:w="115" w:type="dxa"/>
              <w:bottom w:w="0" w:type="dxa"/>
              <w:right w:w="115" w:type="dxa"/>
            </w:tcMar>
          </w:tcPr>
          <w:p w14:paraId="773BB525" w14:textId="41B2E962" w:rsidR="00B5562A" w:rsidRPr="00DD49AB" w:rsidRDefault="00B5562A" w:rsidP="0026719C">
            <w:pPr>
              <w:numPr>
                <w:ilvl w:val="0"/>
                <w:numId w:val="2"/>
              </w:numPr>
            </w:pPr>
            <w:r>
              <w:t xml:space="preserve">Examine jackpot payout tickets for progressive payouts, and for a minimum of 10 progressive payouts, obtain the progressive meter reading sheets or payoff schedules and determine whether the payouts were valid.  </w:t>
            </w:r>
            <w:r>
              <w:rPr>
                <w:b/>
                <w:bCs/>
              </w:rPr>
              <w:t>Regulation 5.110, (Asset Protection)</w:t>
            </w:r>
          </w:p>
          <w:p w14:paraId="07B01AAA" w14:textId="77777777" w:rsidR="00DD49AB" w:rsidRDefault="00DD49AB" w:rsidP="00DD49AB"/>
          <w:p w14:paraId="48A151BD" w14:textId="77777777" w:rsidR="00B5562A" w:rsidRPr="00EF4F32" w:rsidRDefault="00B5562A"/>
        </w:tc>
        <w:tc>
          <w:tcPr>
            <w:tcW w:w="1050" w:type="dxa"/>
            <w:shd w:val="clear" w:color="auto" w:fill="auto"/>
          </w:tcPr>
          <w:p w14:paraId="6FC99EE4" w14:textId="77777777" w:rsidR="00B5562A" w:rsidRDefault="00B5562A">
            <w:pPr>
              <w:rPr>
                <w:rFonts w:ascii="Arial" w:hAnsi="Arial" w:cs="Arial"/>
              </w:rPr>
            </w:pPr>
          </w:p>
        </w:tc>
        <w:tc>
          <w:tcPr>
            <w:tcW w:w="3693" w:type="dxa"/>
            <w:gridSpan w:val="3"/>
            <w:shd w:val="clear" w:color="auto" w:fill="auto"/>
          </w:tcPr>
          <w:p w14:paraId="24E18BDD" w14:textId="77777777" w:rsidR="00B5562A" w:rsidRDefault="00B5562A">
            <w:pPr>
              <w:rPr>
                <w:rFonts w:ascii="Arial" w:hAnsi="Arial" w:cs="Arial"/>
              </w:rPr>
            </w:pPr>
          </w:p>
        </w:tc>
      </w:tr>
      <w:tr w:rsidR="00B5562A" w14:paraId="2A627342"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4243D77" w14:textId="77777777" w:rsidR="00EF4F32" w:rsidRPr="00DD49AB" w:rsidRDefault="00B5562A" w:rsidP="00DD49AB">
            <w:pPr>
              <w:numPr>
                <w:ilvl w:val="0"/>
                <w:numId w:val="2"/>
              </w:numPr>
            </w:pPr>
            <w:r>
              <w:t>If multi-part forms are used, look for evidence that all copies of the manually-prepared jackpot payout tickets, short pay tickets</w:t>
            </w:r>
            <w:r w:rsidR="0011627F" w:rsidRPr="00EC6910">
              <w:t>, canceled credits tickets</w:t>
            </w:r>
            <w:r>
              <w:t xml:space="preserve"> and fill slips match.  </w:t>
            </w:r>
            <w:r>
              <w:rPr>
                <w:b/>
                <w:bCs/>
              </w:rPr>
              <w:t>(Asset Protection)</w:t>
            </w:r>
          </w:p>
          <w:p w14:paraId="77058970" w14:textId="09FB98DE" w:rsidR="00DD49AB" w:rsidRDefault="00DD49AB" w:rsidP="00DD49AB"/>
        </w:tc>
        <w:tc>
          <w:tcPr>
            <w:tcW w:w="1050" w:type="dxa"/>
            <w:tcBorders>
              <w:bottom w:val="single" w:sz="4" w:space="0" w:color="auto"/>
            </w:tcBorders>
          </w:tcPr>
          <w:p w14:paraId="2A7686B3" w14:textId="77777777" w:rsidR="00B5562A" w:rsidRDefault="00B5562A">
            <w:pPr>
              <w:rPr>
                <w:rFonts w:ascii="Arial" w:hAnsi="Arial" w:cs="Arial"/>
              </w:rPr>
            </w:pPr>
          </w:p>
        </w:tc>
        <w:tc>
          <w:tcPr>
            <w:tcW w:w="3693" w:type="dxa"/>
            <w:gridSpan w:val="3"/>
            <w:tcBorders>
              <w:bottom w:val="single" w:sz="4" w:space="0" w:color="auto"/>
            </w:tcBorders>
          </w:tcPr>
          <w:p w14:paraId="201A41FE" w14:textId="77777777" w:rsidR="00B5562A" w:rsidRDefault="00B5562A">
            <w:pPr>
              <w:rPr>
                <w:rFonts w:ascii="Arial" w:hAnsi="Arial" w:cs="Arial"/>
              </w:rPr>
            </w:pPr>
          </w:p>
        </w:tc>
      </w:tr>
      <w:tr w:rsidR="00B5562A" w14:paraId="2CC2579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7D9BBE1A" w14:textId="77777777" w:rsidR="00DD49AB" w:rsidRDefault="00B5562A" w:rsidP="00DD49AB">
            <w:pPr>
              <w:pStyle w:val="List"/>
              <w:numPr>
                <w:ilvl w:val="0"/>
                <w:numId w:val="2"/>
              </w:numPr>
              <w:spacing w:after="120"/>
            </w:pPr>
            <w:r>
              <w:t>If any free play or promotional</w:t>
            </w:r>
            <w:r w:rsidR="0011627F">
              <w:t xml:space="preserve"> </w:t>
            </w:r>
            <w:r w:rsidR="0011627F" w:rsidRPr="00EC6910">
              <w:t>payouts, drawings and giveaway programs</w:t>
            </w:r>
            <w:r w:rsidRPr="00EC6910">
              <w:t xml:space="preserve"> were in effect on the test date, determine that the accounting treatment was pr</w:t>
            </w:r>
            <w:r>
              <w:t xml:space="preserve">oper and that </w:t>
            </w:r>
            <w:r w:rsidR="00FD1C78">
              <w:t>gross revenue</w:t>
            </w:r>
            <w:r>
              <w:t xml:space="preserve"> was properly computed.</w:t>
            </w:r>
          </w:p>
          <w:p w14:paraId="4EAFB2CF" w14:textId="77777777" w:rsidR="00DD49AB" w:rsidRDefault="00DD49AB" w:rsidP="00DD49AB">
            <w:pPr>
              <w:pStyle w:val="List"/>
              <w:spacing w:after="120"/>
              <w:ind w:left="0" w:firstLine="0"/>
            </w:pPr>
          </w:p>
          <w:p w14:paraId="480246FD" w14:textId="77777777" w:rsidR="00DD49AB" w:rsidRDefault="00DD49AB" w:rsidP="00DD49AB">
            <w:pPr>
              <w:pStyle w:val="List"/>
              <w:spacing w:after="120"/>
              <w:ind w:left="0" w:firstLine="0"/>
            </w:pPr>
          </w:p>
          <w:p w14:paraId="1DEC777B" w14:textId="456B7F5F" w:rsidR="00DD49AB" w:rsidRPr="00F26A92" w:rsidRDefault="00DD49AB" w:rsidP="00DD49AB">
            <w:pPr>
              <w:pStyle w:val="List"/>
              <w:spacing w:after="120"/>
              <w:ind w:left="0" w:firstLine="0"/>
            </w:pPr>
          </w:p>
        </w:tc>
        <w:tc>
          <w:tcPr>
            <w:tcW w:w="1050" w:type="dxa"/>
            <w:shd w:val="clear" w:color="auto" w:fill="auto"/>
          </w:tcPr>
          <w:p w14:paraId="13B06E9F" w14:textId="77777777" w:rsidR="00B5562A" w:rsidRDefault="00B5562A">
            <w:pPr>
              <w:rPr>
                <w:rFonts w:ascii="Arial" w:hAnsi="Arial" w:cs="Arial"/>
              </w:rPr>
            </w:pPr>
          </w:p>
        </w:tc>
        <w:tc>
          <w:tcPr>
            <w:tcW w:w="3693" w:type="dxa"/>
            <w:gridSpan w:val="3"/>
            <w:shd w:val="clear" w:color="auto" w:fill="auto"/>
          </w:tcPr>
          <w:p w14:paraId="7290816E" w14:textId="77777777" w:rsidR="00B5562A" w:rsidRDefault="00B5562A">
            <w:pPr>
              <w:rPr>
                <w:rFonts w:ascii="Arial" w:hAnsi="Arial" w:cs="Arial"/>
              </w:rPr>
            </w:pPr>
          </w:p>
        </w:tc>
      </w:tr>
      <w:tr w:rsidR="00B5562A" w14:paraId="0285F5A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36A714CC" w14:textId="77777777" w:rsidR="00B5562A" w:rsidRPr="00F26A92" w:rsidRDefault="00B5562A" w:rsidP="0026719C">
            <w:pPr>
              <w:pStyle w:val="List"/>
              <w:numPr>
                <w:ilvl w:val="0"/>
                <w:numId w:val="2"/>
              </w:numPr>
              <w:spacing w:after="120"/>
            </w:pPr>
            <w:r>
              <w:lastRenderedPageBreak/>
              <w:t>Examine the documentation necessary to ascertain whether:</w:t>
            </w:r>
          </w:p>
        </w:tc>
        <w:tc>
          <w:tcPr>
            <w:tcW w:w="1050" w:type="dxa"/>
            <w:shd w:val="pct15" w:color="auto" w:fill="auto"/>
          </w:tcPr>
          <w:p w14:paraId="42D5A0E3" w14:textId="77777777" w:rsidR="00B5562A" w:rsidRDefault="00B5562A">
            <w:pPr>
              <w:rPr>
                <w:rFonts w:ascii="Arial" w:hAnsi="Arial" w:cs="Arial"/>
              </w:rPr>
            </w:pPr>
          </w:p>
        </w:tc>
        <w:tc>
          <w:tcPr>
            <w:tcW w:w="3693" w:type="dxa"/>
            <w:gridSpan w:val="3"/>
            <w:shd w:val="pct15" w:color="auto" w:fill="auto"/>
          </w:tcPr>
          <w:p w14:paraId="188A08F2" w14:textId="77777777" w:rsidR="00B5562A" w:rsidRDefault="00B5562A">
            <w:pPr>
              <w:rPr>
                <w:rFonts w:ascii="Arial" w:hAnsi="Arial" w:cs="Arial"/>
              </w:rPr>
            </w:pPr>
          </w:p>
        </w:tc>
      </w:tr>
      <w:tr w:rsidR="00B5562A" w14:paraId="19A2C94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82D8A97" w14:textId="77777777" w:rsidR="00B5562A" w:rsidRPr="0011627F" w:rsidRDefault="00E73CE6" w:rsidP="0026719C">
            <w:pPr>
              <w:numPr>
                <w:ilvl w:val="1"/>
                <w:numId w:val="2"/>
              </w:numPr>
              <w:ind w:left="713" w:hanging="450"/>
            </w:pPr>
            <w:r>
              <w:t xml:space="preserve">The correct amount of </w:t>
            </w:r>
            <w:r w:rsidR="00B5562A">
              <w:t xml:space="preserve">total wagering instruments counted in the count room </w:t>
            </w:r>
            <w:r w:rsidR="0011627F" w:rsidRPr="00EC6910">
              <w:t>per the cashless wagering system</w:t>
            </w:r>
            <w:r w:rsidR="0011627F" w:rsidRPr="0011627F">
              <w:t xml:space="preserve"> </w:t>
            </w:r>
            <w:r w:rsidR="00EC6910">
              <w:t>was</w:t>
            </w:r>
            <w:r w:rsidR="00B5562A">
              <w:t xml:space="preserve"> included in drop on the </w:t>
            </w:r>
            <w:r w:rsidR="00FE3600" w:rsidRPr="00EC6910">
              <w:t>currency acceptor count document</w:t>
            </w:r>
            <w:r w:rsidR="0011627F" w:rsidRPr="00EC6910">
              <w:t xml:space="preserve"> and</w:t>
            </w:r>
            <w:r w:rsidR="0011627F" w:rsidRPr="0011627F">
              <w:t xml:space="preserve"> </w:t>
            </w:r>
            <w:r w:rsidR="00B5562A">
              <w:t xml:space="preserve">slot analysis report.  </w:t>
            </w:r>
            <w:r w:rsidR="00B5562A">
              <w:rPr>
                <w:b/>
                <w:bCs/>
              </w:rPr>
              <w:t>(Revenue)</w:t>
            </w:r>
          </w:p>
          <w:p w14:paraId="362A9FEB" w14:textId="77777777" w:rsidR="0011627F" w:rsidRPr="00F26A92" w:rsidRDefault="0011627F" w:rsidP="0011627F">
            <w:pPr>
              <w:ind w:left="263"/>
              <w:rPr>
                <w:sz w:val="12"/>
                <w:szCs w:val="12"/>
              </w:rPr>
            </w:pPr>
          </w:p>
          <w:p w14:paraId="63B331ED" w14:textId="77777777" w:rsidR="00DD49AB" w:rsidRDefault="00DD49AB" w:rsidP="0011627F">
            <w:pPr>
              <w:ind w:left="263" w:firstLine="450"/>
              <w:rPr>
                <w:b/>
                <w:bCs/>
              </w:rPr>
            </w:pPr>
          </w:p>
          <w:p w14:paraId="1C45DBC8" w14:textId="776E7609" w:rsidR="0011627F" w:rsidRDefault="0011627F" w:rsidP="0011627F">
            <w:pPr>
              <w:ind w:left="263" w:firstLine="450"/>
              <w:rPr>
                <w:b/>
                <w:bCs/>
              </w:rPr>
            </w:pPr>
            <w:r>
              <w:rPr>
                <w:b/>
                <w:bCs/>
              </w:rPr>
              <w:t>Indicate the cashless wagering system report examined:</w:t>
            </w:r>
          </w:p>
          <w:p w14:paraId="3F0D403A" w14:textId="77777777" w:rsidR="0011627F" w:rsidRDefault="0011627F" w:rsidP="0011627F">
            <w:pPr>
              <w:ind w:left="263" w:firstLine="450"/>
              <w:rPr>
                <w:b/>
                <w:bCs/>
              </w:rPr>
            </w:pPr>
            <w:r>
              <w:rPr>
                <w:b/>
                <w:bCs/>
              </w:rPr>
              <w:t>_______________________________________________</w:t>
            </w:r>
          </w:p>
          <w:p w14:paraId="7A65D03A" w14:textId="77777777" w:rsidR="0011627F" w:rsidRDefault="0011627F" w:rsidP="0011627F">
            <w:pPr>
              <w:ind w:left="263"/>
            </w:pPr>
          </w:p>
          <w:p w14:paraId="2EF23523" w14:textId="77777777" w:rsidR="00B5562A" w:rsidRDefault="00B5562A">
            <w:pPr>
              <w:rPr>
                <w:b/>
                <w:bCs/>
                <w:sz w:val="8"/>
              </w:rPr>
            </w:pPr>
          </w:p>
          <w:p w14:paraId="76204EA3" w14:textId="77777777" w:rsidR="00B5562A" w:rsidRDefault="00B5562A">
            <w:pPr>
              <w:ind w:left="713"/>
            </w:pPr>
            <w:r>
              <w:rPr>
                <w:b/>
                <w:bCs/>
              </w:rPr>
              <w:t xml:space="preserve">Note:  </w:t>
            </w:r>
            <w:r>
              <w:t>Wagering instruments contained in drop boxes are required to be included in drop pursuant to Regulations 1.095(2) and 6.110(2).</w:t>
            </w:r>
          </w:p>
          <w:p w14:paraId="1CED4121" w14:textId="1A6A2BD5" w:rsidR="00DD49AB" w:rsidRDefault="00DD49AB" w:rsidP="00DD49AB"/>
        </w:tc>
        <w:tc>
          <w:tcPr>
            <w:tcW w:w="1050" w:type="dxa"/>
          </w:tcPr>
          <w:p w14:paraId="54E8586B" w14:textId="77777777" w:rsidR="00B5562A" w:rsidRDefault="00B5562A">
            <w:pPr>
              <w:rPr>
                <w:rFonts w:ascii="Arial" w:hAnsi="Arial" w:cs="Arial"/>
              </w:rPr>
            </w:pPr>
          </w:p>
        </w:tc>
        <w:tc>
          <w:tcPr>
            <w:tcW w:w="3693" w:type="dxa"/>
            <w:gridSpan w:val="3"/>
          </w:tcPr>
          <w:p w14:paraId="7094DB02" w14:textId="77777777" w:rsidR="00B5562A" w:rsidRDefault="00B5562A">
            <w:pPr>
              <w:rPr>
                <w:rFonts w:ascii="Arial" w:hAnsi="Arial" w:cs="Arial"/>
              </w:rPr>
            </w:pPr>
          </w:p>
        </w:tc>
      </w:tr>
      <w:tr w:rsidR="00B5562A" w14:paraId="10D0252F"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5104B7D" w14:textId="77777777" w:rsidR="00B5562A" w:rsidRDefault="00B5562A" w:rsidP="0026719C">
            <w:pPr>
              <w:numPr>
                <w:ilvl w:val="1"/>
                <w:numId w:val="2"/>
              </w:numPr>
              <w:ind w:left="713" w:hanging="353"/>
            </w:pPr>
            <w:r>
              <w:t>The correct amount of total wagering instruments recorded as “redeemed at the slot machine” per the cashless wagering system report is reconciled to the total wagering instruments counted in the count room which is recorded and included in drop on the</w:t>
            </w:r>
            <w:r w:rsidR="005B2DDA">
              <w:t xml:space="preserve"> </w:t>
            </w:r>
            <w:r w:rsidR="005B2DDA" w:rsidRPr="00EC6910">
              <w:t>currency acceptor count document</w:t>
            </w:r>
            <w:r>
              <w:t xml:space="preserve">.  </w:t>
            </w:r>
            <w:r>
              <w:rPr>
                <w:b/>
                <w:bCs/>
              </w:rPr>
              <w:t>(Revenue)</w:t>
            </w:r>
          </w:p>
          <w:p w14:paraId="2D2CB1B5" w14:textId="77777777" w:rsidR="00B5562A" w:rsidRPr="00F26A92" w:rsidRDefault="00B5562A">
            <w:pPr>
              <w:ind w:left="263"/>
              <w:rPr>
                <w:sz w:val="12"/>
                <w:szCs w:val="12"/>
              </w:rPr>
            </w:pPr>
          </w:p>
          <w:p w14:paraId="4D6EB3D7" w14:textId="77777777" w:rsidR="00DD49AB" w:rsidRDefault="00DD49AB">
            <w:pPr>
              <w:ind w:left="263" w:firstLine="450"/>
              <w:rPr>
                <w:b/>
                <w:bCs/>
              </w:rPr>
            </w:pPr>
          </w:p>
          <w:p w14:paraId="26AA488B" w14:textId="6C8F3846" w:rsidR="00B5562A" w:rsidRDefault="00B5562A">
            <w:pPr>
              <w:ind w:left="263" w:firstLine="450"/>
              <w:rPr>
                <w:b/>
                <w:bCs/>
              </w:rPr>
            </w:pPr>
            <w:r>
              <w:rPr>
                <w:b/>
                <w:bCs/>
              </w:rPr>
              <w:t>Indicate the cashless wagering system report examined:</w:t>
            </w:r>
          </w:p>
          <w:p w14:paraId="6DADC387" w14:textId="77777777" w:rsidR="00B5562A" w:rsidRDefault="00B5562A">
            <w:pPr>
              <w:ind w:left="263" w:firstLine="450"/>
              <w:rPr>
                <w:b/>
                <w:bCs/>
              </w:rPr>
            </w:pPr>
            <w:r>
              <w:rPr>
                <w:b/>
                <w:bCs/>
              </w:rPr>
              <w:t>_______________________________________________</w:t>
            </w:r>
          </w:p>
          <w:p w14:paraId="3E32F360" w14:textId="5075AF43" w:rsidR="00DD49AB" w:rsidRDefault="00DD49AB" w:rsidP="00DD49AB"/>
        </w:tc>
        <w:tc>
          <w:tcPr>
            <w:tcW w:w="1050" w:type="dxa"/>
          </w:tcPr>
          <w:p w14:paraId="43AF81EA" w14:textId="77777777" w:rsidR="00B5562A" w:rsidRDefault="00B5562A">
            <w:pPr>
              <w:rPr>
                <w:rFonts w:ascii="Arial" w:hAnsi="Arial" w:cs="Arial"/>
              </w:rPr>
            </w:pPr>
          </w:p>
        </w:tc>
        <w:tc>
          <w:tcPr>
            <w:tcW w:w="3693" w:type="dxa"/>
            <w:gridSpan w:val="3"/>
          </w:tcPr>
          <w:p w14:paraId="3F17D842" w14:textId="77777777" w:rsidR="00B5562A" w:rsidRDefault="00B5562A">
            <w:pPr>
              <w:rPr>
                <w:rFonts w:ascii="Arial" w:hAnsi="Arial" w:cs="Arial"/>
              </w:rPr>
            </w:pPr>
          </w:p>
        </w:tc>
      </w:tr>
      <w:tr w:rsidR="00B5562A" w14:paraId="41AF9132"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C2F414F" w14:textId="77777777" w:rsidR="00B5562A" w:rsidRDefault="00B5562A" w:rsidP="0026719C">
            <w:pPr>
              <w:numPr>
                <w:ilvl w:val="1"/>
                <w:numId w:val="2"/>
              </w:numPr>
              <w:ind w:left="713" w:hanging="450"/>
            </w:pPr>
            <w:r>
              <w:t xml:space="preserve">The correct amount of wagering instruments or payout receipts issued from the machines are recorded as a deduction from revenue on the slot analysis report at the time they are issued by the machines.  </w:t>
            </w:r>
            <w:r>
              <w:rPr>
                <w:b/>
                <w:bCs/>
              </w:rPr>
              <w:t>(Revenue)</w:t>
            </w:r>
          </w:p>
          <w:p w14:paraId="5BE9473E" w14:textId="77777777" w:rsidR="00B5562A" w:rsidRPr="00F26A92" w:rsidRDefault="00B5562A">
            <w:pPr>
              <w:ind w:left="263"/>
              <w:rPr>
                <w:sz w:val="12"/>
                <w:szCs w:val="12"/>
              </w:rPr>
            </w:pPr>
          </w:p>
          <w:p w14:paraId="3D645661" w14:textId="77777777" w:rsidR="00DD49AB" w:rsidRDefault="00DD49AB" w:rsidP="00FE3600">
            <w:pPr>
              <w:ind w:left="263" w:firstLine="450"/>
              <w:rPr>
                <w:b/>
                <w:bCs/>
              </w:rPr>
            </w:pPr>
          </w:p>
          <w:p w14:paraId="1F5F03AC" w14:textId="2AF613DA" w:rsidR="00FE3600" w:rsidRDefault="00FE3600" w:rsidP="00FE3600">
            <w:pPr>
              <w:ind w:left="263" w:firstLine="450"/>
              <w:rPr>
                <w:b/>
                <w:bCs/>
              </w:rPr>
            </w:pPr>
            <w:r>
              <w:rPr>
                <w:b/>
                <w:bCs/>
              </w:rPr>
              <w:t>Indicate the cashless wagering system report examined:</w:t>
            </w:r>
          </w:p>
          <w:p w14:paraId="1B1C916A" w14:textId="77777777" w:rsidR="00B5562A" w:rsidRDefault="00FE3600" w:rsidP="00FE3600">
            <w:pPr>
              <w:ind w:left="713"/>
              <w:rPr>
                <w:b/>
                <w:bCs/>
              </w:rPr>
            </w:pPr>
            <w:r>
              <w:rPr>
                <w:b/>
                <w:bCs/>
              </w:rPr>
              <w:t>_______________________________________________</w:t>
            </w:r>
          </w:p>
          <w:p w14:paraId="32033E44" w14:textId="77777777" w:rsidR="00FE3600" w:rsidRDefault="00FE3600" w:rsidP="00FE3600">
            <w:pPr>
              <w:ind w:left="713"/>
              <w:rPr>
                <w:b/>
                <w:bCs/>
                <w:sz w:val="8"/>
              </w:rPr>
            </w:pPr>
          </w:p>
          <w:p w14:paraId="4178775E" w14:textId="77777777" w:rsidR="00FE3600" w:rsidRDefault="00FE3600">
            <w:pPr>
              <w:ind w:left="713"/>
              <w:rPr>
                <w:b/>
                <w:bCs/>
              </w:rPr>
            </w:pPr>
          </w:p>
          <w:p w14:paraId="77A97A89" w14:textId="77777777" w:rsidR="00B5562A" w:rsidRDefault="00B5562A">
            <w:pPr>
              <w:ind w:left="713"/>
            </w:pPr>
            <w:r>
              <w:rPr>
                <w:b/>
                <w:bCs/>
              </w:rPr>
              <w:t xml:space="preserve">Note:  </w:t>
            </w:r>
            <w:r>
              <w:t>Wagering instruments and payout receipts are required to be deducted from revenue at the time they are issued by the machine pursuant to Regulation 6.110(2) &amp; (</w:t>
            </w:r>
            <w:r w:rsidR="0097306E">
              <w:t>11</w:t>
            </w:r>
            <w:r>
              <w:t>).</w:t>
            </w:r>
          </w:p>
          <w:p w14:paraId="4588219F" w14:textId="4D52AC51" w:rsidR="00DD49AB" w:rsidRDefault="00DD49AB">
            <w:pPr>
              <w:ind w:left="713"/>
            </w:pPr>
          </w:p>
        </w:tc>
        <w:tc>
          <w:tcPr>
            <w:tcW w:w="1050" w:type="dxa"/>
          </w:tcPr>
          <w:p w14:paraId="127EADC0" w14:textId="77777777" w:rsidR="00B5562A" w:rsidRDefault="00B5562A">
            <w:pPr>
              <w:rPr>
                <w:rFonts w:ascii="Arial" w:hAnsi="Arial" w:cs="Arial"/>
              </w:rPr>
            </w:pPr>
          </w:p>
        </w:tc>
        <w:tc>
          <w:tcPr>
            <w:tcW w:w="3693" w:type="dxa"/>
            <w:gridSpan w:val="3"/>
          </w:tcPr>
          <w:p w14:paraId="20DC6230" w14:textId="77777777" w:rsidR="00B5562A" w:rsidRDefault="00B5562A">
            <w:pPr>
              <w:rPr>
                <w:rFonts w:ascii="Arial" w:hAnsi="Arial" w:cs="Arial"/>
              </w:rPr>
            </w:pPr>
          </w:p>
        </w:tc>
      </w:tr>
      <w:tr w:rsidR="009C6A97" w14:paraId="703857C5"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08D4FF7C" w14:textId="77777777" w:rsidR="009C6A97" w:rsidRDefault="009C6A97" w:rsidP="0026719C">
            <w:pPr>
              <w:numPr>
                <w:ilvl w:val="1"/>
                <w:numId w:val="2"/>
              </w:numPr>
              <w:ind w:left="713" w:hanging="450"/>
            </w:pPr>
            <w:r>
              <w:t xml:space="preserve">Expired wagering </w:t>
            </w:r>
            <w:r w:rsidR="00E5742A">
              <w:t>instruments</w:t>
            </w:r>
            <w:r>
              <w:t xml:space="preserve"> and payout receipt reports are accurate for inclusion in gross revenue pursuant to </w:t>
            </w:r>
            <w:r w:rsidRPr="00706F1F">
              <w:t>Regulation 6.110(1</w:t>
            </w:r>
            <w:r w:rsidR="0097306E">
              <w:t>1</w:t>
            </w:r>
            <w:r w:rsidRPr="00706F1F">
              <w:t>) and</w:t>
            </w:r>
            <w:r>
              <w:t xml:space="preserve"> reporting on the NGC-18 pursuant to </w:t>
            </w:r>
            <w:r w:rsidRPr="00706F1F">
              <w:t>Regulation 6.110(1</w:t>
            </w:r>
            <w:r w:rsidR="0097306E">
              <w:t>1</w:t>
            </w:r>
            <w:r w:rsidRPr="00706F1F">
              <w:t>).</w:t>
            </w:r>
          </w:p>
          <w:p w14:paraId="07620921" w14:textId="3BCED52D" w:rsidR="00DD49AB" w:rsidRDefault="00DD49AB" w:rsidP="00DD49AB">
            <w:pPr>
              <w:ind w:left="263"/>
            </w:pPr>
          </w:p>
        </w:tc>
        <w:tc>
          <w:tcPr>
            <w:tcW w:w="1050" w:type="dxa"/>
          </w:tcPr>
          <w:p w14:paraId="5704E1EC" w14:textId="77777777" w:rsidR="009C6A97" w:rsidRDefault="009C6A97">
            <w:pPr>
              <w:rPr>
                <w:rFonts w:ascii="Arial" w:hAnsi="Arial" w:cs="Arial"/>
              </w:rPr>
            </w:pPr>
          </w:p>
        </w:tc>
        <w:tc>
          <w:tcPr>
            <w:tcW w:w="3693" w:type="dxa"/>
            <w:gridSpan w:val="3"/>
          </w:tcPr>
          <w:p w14:paraId="715BF7A5" w14:textId="77777777" w:rsidR="009C6A97" w:rsidRDefault="009C6A97">
            <w:pPr>
              <w:rPr>
                <w:rFonts w:ascii="Arial" w:hAnsi="Arial" w:cs="Arial"/>
              </w:rPr>
            </w:pPr>
          </w:p>
        </w:tc>
      </w:tr>
      <w:tr w:rsidR="00B5562A" w14:paraId="1B6FF81B"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C8C10E2" w14:textId="77777777" w:rsidR="00B5562A" w:rsidRPr="009B1EAC" w:rsidRDefault="00B5562A" w:rsidP="0026719C">
            <w:pPr>
              <w:numPr>
                <w:ilvl w:val="1"/>
                <w:numId w:val="2"/>
              </w:numPr>
              <w:ind w:left="713" w:hanging="450"/>
            </w:pPr>
            <w:r w:rsidRPr="009B1EAC">
              <w:lastRenderedPageBreak/>
              <w:t xml:space="preserve">The correct amount of any electronic money transfers (includes wagering and/or promotional account transfers) made to the machines through the use of a cashless wagering system are included in drop on the slot analysis report.  </w:t>
            </w:r>
            <w:r w:rsidRPr="009B1EAC">
              <w:rPr>
                <w:b/>
                <w:bCs/>
              </w:rPr>
              <w:t>(Revenue)</w:t>
            </w:r>
          </w:p>
          <w:p w14:paraId="647092BA" w14:textId="77777777" w:rsidR="00B5562A" w:rsidRPr="00F26A92" w:rsidRDefault="00B5562A">
            <w:pPr>
              <w:ind w:left="263"/>
              <w:rPr>
                <w:sz w:val="12"/>
                <w:szCs w:val="12"/>
              </w:rPr>
            </w:pPr>
          </w:p>
          <w:p w14:paraId="0AEF6261" w14:textId="77777777" w:rsidR="00DD49AB" w:rsidRDefault="00DD49AB" w:rsidP="00FE3600">
            <w:pPr>
              <w:ind w:left="263" w:firstLine="450"/>
              <w:rPr>
                <w:b/>
                <w:bCs/>
              </w:rPr>
            </w:pPr>
          </w:p>
          <w:p w14:paraId="4DB9E799" w14:textId="6E59ED3E" w:rsidR="00FE3600" w:rsidRDefault="00FE3600" w:rsidP="00FE3600">
            <w:pPr>
              <w:ind w:left="263" w:firstLine="450"/>
              <w:rPr>
                <w:b/>
                <w:bCs/>
              </w:rPr>
            </w:pPr>
            <w:r>
              <w:rPr>
                <w:b/>
                <w:bCs/>
              </w:rPr>
              <w:t>Indicate the cashless wagering system report examined:</w:t>
            </w:r>
          </w:p>
          <w:p w14:paraId="6FF6C659" w14:textId="77777777" w:rsidR="00B5562A" w:rsidRDefault="00FE3600" w:rsidP="00FE3600">
            <w:pPr>
              <w:ind w:firstLine="713"/>
              <w:rPr>
                <w:sz w:val="8"/>
              </w:rPr>
            </w:pPr>
            <w:r>
              <w:rPr>
                <w:b/>
                <w:bCs/>
              </w:rPr>
              <w:t>_______________________________________________</w:t>
            </w:r>
          </w:p>
          <w:p w14:paraId="69244881" w14:textId="02053EB9" w:rsidR="00FE3600" w:rsidRDefault="00FE3600">
            <w:pPr>
              <w:ind w:left="713"/>
              <w:rPr>
                <w:b/>
                <w:bCs/>
              </w:rPr>
            </w:pPr>
          </w:p>
          <w:p w14:paraId="1E43EA85" w14:textId="77777777" w:rsidR="00DD49AB" w:rsidRDefault="00DD49AB">
            <w:pPr>
              <w:ind w:left="713"/>
              <w:rPr>
                <w:b/>
                <w:bCs/>
              </w:rPr>
            </w:pPr>
          </w:p>
          <w:p w14:paraId="713F99C0" w14:textId="77777777" w:rsidR="00B5562A" w:rsidRDefault="00B5562A">
            <w:pPr>
              <w:ind w:left="713"/>
            </w:pPr>
            <w:r>
              <w:rPr>
                <w:b/>
                <w:bCs/>
              </w:rPr>
              <w:t xml:space="preserve">Note:  </w:t>
            </w:r>
            <w:r>
              <w:t xml:space="preserve">Electronic money transfers to slot machines are required to be included in drop pursuant to Regulations 1.095(2) </w:t>
            </w:r>
            <w:r w:rsidR="00C17E3D">
              <w:t>and</w:t>
            </w:r>
            <w:r>
              <w:t xml:space="preserve"> 6.110(2).</w:t>
            </w:r>
          </w:p>
          <w:p w14:paraId="2FFE6697" w14:textId="1C9DEAA6" w:rsidR="00DD49AB" w:rsidRDefault="00DD49AB" w:rsidP="00DD49AB"/>
        </w:tc>
        <w:tc>
          <w:tcPr>
            <w:tcW w:w="1050" w:type="dxa"/>
          </w:tcPr>
          <w:p w14:paraId="4DB26DA5" w14:textId="77777777" w:rsidR="00B5562A" w:rsidRDefault="00B5562A">
            <w:pPr>
              <w:rPr>
                <w:rFonts w:ascii="Arial" w:hAnsi="Arial" w:cs="Arial"/>
              </w:rPr>
            </w:pPr>
          </w:p>
        </w:tc>
        <w:tc>
          <w:tcPr>
            <w:tcW w:w="3693" w:type="dxa"/>
            <w:gridSpan w:val="3"/>
          </w:tcPr>
          <w:p w14:paraId="51253506" w14:textId="77777777" w:rsidR="00B5562A" w:rsidRDefault="00B5562A">
            <w:pPr>
              <w:rPr>
                <w:rFonts w:ascii="Arial" w:hAnsi="Arial" w:cs="Arial"/>
              </w:rPr>
            </w:pPr>
          </w:p>
        </w:tc>
      </w:tr>
      <w:tr w:rsidR="00B5562A" w14:paraId="5534BF8B"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18DDDE1" w14:textId="2FFA447A" w:rsidR="00B5562A" w:rsidRPr="00DD49AB" w:rsidRDefault="00B5562A" w:rsidP="0026719C">
            <w:pPr>
              <w:numPr>
                <w:ilvl w:val="1"/>
                <w:numId w:val="2"/>
              </w:numPr>
              <w:ind w:left="713" w:hanging="353"/>
            </w:pPr>
            <w:r w:rsidRPr="009B1EAC">
              <w:t xml:space="preserve">The correct amount of any electronic money transfers (includes transfers back to wagering and/or promotional accounts) made from the slot machines through the use of a cashless wagering system are deducted from revenue on the slot analysis report.  </w:t>
            </w:r>
            <w:r w:rsidRPr="009B1EAC">
              <w:rPr>
                <w:b/>
                <w:bCs/>
              </w:rPr>
              <w:t>(Revenue)</w:t>
            </w:r>
          </w:p>
          <w:p w14:paraId="2F21BB30" w14:textId="77777777" w:rsidR="00DD49AB" w:rsidRPr="009B1EAC" w:rsidRDefault="00DD49AB" w:rsidP="00DD49AB">
            <w:pPr>
              <w:ind w:left="713"/>
            </w:pPr>
          </w:p>
          <w:p w14:paraId="2A85D1D0" w14:textId="77777777" w:rsidR="00B5562A" w:rsidRPr="009B1EAC" w:rsidRDefault="00B5562A">
            <w:pPr>
              <w:ind w:left="353"/>
              <w:rPr>
                <w:sz w:val="12"/>
                <w:szCs w:val="12"/>
              </w:rPr>
            </w:pPr>
          </w:p>
          <w:p w14:paraId="6ACEE091" w14:textId="77777777" w:rsidR="000B3171" w:rsidRPr="009B1EAC" w:rsidRDefault="000B3171" w:rsidP="000B3171">
            <w:pPr>
              <w:ind w:left="263" w:firstLine="450"/>
              <w:rPr>
                <w:b/>
                <w:bCs/>
              </w:rPr>
            </w:pPr>
            <w:r w:rsidRPr="009B1EAC">
              <w:rPr>
                <w:b/>
                <w:bCs/>
              </w:rPr>
              <w:t>Indicate the cashless wagering system report examined:</w:t>
            </w:r>
          </w:p>
          <w:p w14:paraId="1D8A09DF" w14:textId="77777777" w:rsidR="00B5562A" w:rsidRPr="009B1EAC" w:rsidRDefault="000B3171" w:rsidP="000B3171">
            <w:pPr>
              <w:ind w:left="713"/>
              <w:rPr>
                <w:b/>
                <w:bCs/>
                <w:sz w:val="8"/>
              </w:rPr>
            </w:pPr>
            <w:r w:rsidRPr="009B1EAC">
              <w:rPr>
                <w:b/>
                <w:bCs/>
              </w:rPr>
              <w:t>_______________________________________________</w:t>
            </w:r>
          </w:p>
          <w:p w14:paraId="53A978C4" w14:textId="7DA0A967" w:rsidR="000B3171" w:rsidRDefault="000B3171">
            <w:pPr>
              <w:ind w:left="713"/>
              <w:rPr>
                <w:b/>
                <w:bCs/>
              </w:rPr>
            </w:pPr>
          </w:p>
          <w:p w14:paraId="178FC856" w14:textId="77777777" w:rsidR="00DD49AB" w:rsidRPr="009B1EAC" w:rsidRDefault="00DD49AB">
            <w:pPr>
              <w:ind w:left="713"/>
              <w:rPr>
                <w:b/>
                <w:bCs/>
              </w:rPr>
            </w:pPr>
          </w:p>
          <w:p w14:paraId="55140F6D" w14:textId="77777777" w:rsidR="00B5562A" w:rsidRDefault="00B5562A">
            <w:pPr>
              <w:ind w:left="713"/>
            </w:pPr>
            <w:r w:rsidRPr="009B1EAC">
              <w:rPr>
                <w:b/>
                <w:bCs/>
              </w:rPr>
              <w:t>Note:</w:t>
            </w:r>
            <w:r w:rsidRPr="009B1EAC">
              <w:t xml:space="preserve">  Electronic money transfers from a slot machine are required to be deducted from slot revenue pursuant to Regulations 1.140 and 6.110(2).</w:t>
            </w:r>
          </w:p>
          <w:p w14:paraId="278ADF5B" w14:textId="3C16E320" w:rsidR="00DD49AB" w:rsidRPr="009B1EAC" w:rsidRDefault="00DD49AB" w:rsidP="00DD49AB"/>
        </w:tc>
        <w:tc>
          <w:tcPr>
            <w:tcW w:w="1050" w:type="dxa"/>
          </w:tcPr>
          <w:p w14:paraId="15A76BF8" w14:textId="77777777" w:rsidR="00B5562A" w:rsidRDefault="00B5562A">
            <w:pPr>
              <w:rPr>
                <w:rFonts w:ascii="Arial" w:hAnsi="Arial" w:cs="Arial"/>
              </w:rPr>
            </w:pPr>
          </w:p>
        </w:tc>
        <w:tc>
          <w:tcPr>
            <w:tcW w:w="3693" w:type="dxa"/>
            <w:gridSpan w:val="3"/>
          </w:tcPr>
          <w:p w14:paraId="52E5CEA0" w14:textId="77777777" w:rsidR="00B5562A" w:rsidRDefault="00B5562A">
            <w:pPr>
              <w:rPr>
                <w:rFonts w:ascii="Arial" w:hAnsi="Arial" w:cs="Arial"/>
              </w:rPr>
            </w:pPr>
          </w:p>
        </w:tc>
      </w:tr>
      <w:tr w:rsidR="00B5562A" w14:paraId="5BF3968A"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3A51528" w14:textId="72020916" w:rsidR="00B5562A" w:rsidRDefault="000B3171" w:rsidP="00996EB7">
            <w:pPr>
              <w:numPr>
                <w:ilvl w:val="0"/>
                <w:numId w:val="2"/>
              </w:numPr>
              <w:rPr>
                <w:szCs w:val="24"/>
              </w:rPr>
            </w:pPr>
            <w:r>
              <w:rPr>
                <w:szCs w:val="24"/>
              </w:rPr>
              <w:lastRenderedPageBreak/>
              <w:t xml:space="preserve">Foot one denomination and cross-foot the totals for all denominations on the slot analysis report and ensure that </w:t>
            </w:r>
            <w:r w:rsidR="0097306E">
              <w:rPr>
                <w:szCs w:val="24"/>
              </w:rPr>
              <w:t>gross revenue</w:t>
            </w:r>
            <w:r>
              <w:rPr>
                <w:szCs w:val="24"/>
              </w:rPr>
              <w:t xml:space="preserve"> is properly computed.</w:t>
            </w:r>
            <w:r w:rsidR="00EC6910">
              <w:rPr>
                <w:szCs w:val="24"/>
              </w:rPr>
              <w:t xml:space="preserve"> </w:t>
            </w:r>
            <w:r w:rsidR="00EC6910">
              <w:rPr>
                <w:b/>
                <w:szCs w:val="24"/>
              </w:rPr>
              <w:t>(Revenue)</w:t>
            </w:r>
          </w:p>
          <w:p w14:paraId="4F297B51" w14:textId="77777777" w:rsidR="000B3171" w:rsidRPr="00DD49AB" w:rsidRDefault="000B3171" w:rsidP="000B3171">
            <w:pPr>
              <w:ind w:left="353"/>
              <w:rPr>
                <w:b/>
                <w:bCs/>
                <w:szCs w:val="12"/>
              </w:rPr>
            </w:pPr>
          </w:p>
          <w:p w14:paraId="056CBFD3" w14:textId="77777777" w:rsidR="003228E2" w:rsidRDefault="003228E2" w:rsidP="000B3171">
            <w:pPr>
              <w:ind w:left="353"/>
              <w:rPr>
                <w:b/>
                <w:bCs/>
              </w:rPr>
            </w:pPr>
            <w:r>
              <w:rPr>
                <w:b/>
                <w:bCs/>
                <w:szCs w:val="24"/>
              </w:rPr>
              <w:t>Note 1:</w:t>
            </w:r>
            <w:r>
              <w:rPr>
                <w:szCs w:val="24"/>
              </w:rPr>
              <w:t xml:space="preserve">  This procedure need only be done for one of the two test dates selected for the fiscal year.</w:t>
            </w:r>
          </w:p>
          <w:p w14:paraId="3807BC9F" w14:textId="77777777" w:rsidR="003228E2" w:rsidRPr="00DD49AB" w:rsidRDefault="003228E2">
            <w:pPr>
              <w:ind w:left="353"/>
              <w:rPr>
                <w:b/>
                <w:bCs/>
                <w:szCs w:val="12"/>
              </w:rPr>
            </w:pPr>
          </w:p>
          <w:p w14:paraId="4AEF4C32" w14:textId="77777777" w:rsidR="00A71BAD" w:rsidRDefault="00B5562A" w:rsidP="00176C58">
            <w:pPr>
              <w:ind w:left="353"/>
            </w:pPr>
            <w:r>
              <w:rPr>
                <w:b/>
                <w:bCs/>
              </w:rPr>
              <w:t>Note</w:t>
            </w:r>
            <w:r w:rsidR="003228E2">
              <w:rPr>
                <w:b/>
                <w:bCs/>
              </w:rPr>
              <w:t xml:space="preserve"> 2</w:t>
            </w:r>
            <w:r>
              <w:rPr>
                <w:b/>
                <w:bCs/>
              </w:rPr>
              <w:t xml:space="preserve">:  </w:t>
            </w:r>
            <w:r>
              <w:t>Pursuant to Regulations 1.095(2), 1.140</w:t>
            </w:r>
            <w:r w:rsidR="00383FA7">
              <w:t>,</w:t>
            </w:r>
            <w:r>
              <w:t xml:space="preserve"> and 6.110(2) &amp; (1</w:t>
            </w:r>
            <w:r w:rsidR="0097306E">
              <w:t>1</w:t>
            </w:r>
            <w:r>
              <w:t xml:space="preserve">), </w:t>
            </w:r>
            <w:r w:rsidR="0097306E">
              <w:t xml:space="preserve">gross revenue </w:t>
            </w:r>
            <w:r>
              <w:t xml:space="preserve">is calculated as follows:  drop (money, tokens and wagering instruments contained in drop boxes and electronic money transfers made to the slot machine through the use of a cashless wagering system) less fills and jackpot payouts, which include payout receipts and wagering instruments when they are issued by the machine and electronic money transfers made from a slot machine through the use of a cashless wagering system, plus </w:t>
            </w:r>
            <w:r w:rsidR="00234A01">
              <w:t xml:space="preserve">expired </w:t>
            </w:r>
            <w:r>
              <w:t xml:space="preserve"> payout receipts or wagering </w:t>
            </w:r>
            <w:r w:rsidR="00E5742A">
              <w:t>ins</w:t>
            </w:r>
            <w:r w:rsidR="007F75E6">
              <w:t>truments.</w:t>
            </w:r>
            <w:r>
              <w:t xml:space="preserve">  </w:t>
            </w:r>
            <w:r w:rsidR="00E255A9">
              <w:t xml:space="preserve">Wagering </w:t>
            </w:r>
            <w:r w:rsidR="00E5742A">
              <w:t>instruments</w:t>
            </w:r>
            <w:r w:rsidR="00E255A9">
              <w:t xml:space="preserve"> and payouts receipts issued after 6/30/11 are considered expired if not redeemed with</w:t>
            </w:r>
            <w:r w:rsidR="00AC6A40">
              <w:t>in</w:t>
            </w:r>
            <w:r w:rsidR="00E255A9">
              <w:t xml:space="preserve"> the earlier of 180 days or the expiration date printed on the ticket.  For these, 25% of the redemption value is to be included in revenue.  If an expired </w:t>
            </w:r>
            <w:r w:rsidR="00E5742A">
              <w:t>instrument</w:t>
            </w:r>
            <w:r w:rsidR="00E255A9">
              <w:t>/receipt is subsequently paid, 25%</w:t>
            </w:r>
            <w:r w:rsidR="002F7DB5">
              <w:t xml:space="preserve"> of the value can be deducted from revenue if it had been included in revenue.  </w:t>
            </w:r>
            <w:r>
              <w:t xml:space="preserve">Note that an adjustment of </w:t>
            </w:r>
            <w:r w:rsidR="0097306E">
              <w:t>gross revenue</w:t>
            </w:r>
            <w:r>
              <w:t xml:space="preserve"> for the unredeemed payout receipts or wagering instruments may be made at the end of the month rather than on a daily basis.</w:t>
            </w:r>
          </w:p>
          <w:p w14:paraId="1BDBF7BB" w14:textId="2E88A359" w:rsidR="00DD49AB" w:rsidRDefault="00DD49AB" w:rsidP="00176C58">
            <w:pPr>
              <w:ind w:left="353"/>
            </w:pPr>
          </w:p>
        </w:tc>
        <w:tc>
          <w:tcPr>
            <w:tcW w:w="1050" w:type="dxa"/>
          </w:tcPr>
          <w:p w14:paraId="60BB7DD9" w14:textId="77777777" w:rsidR="00B5562A" w:rsidRDefault="00B5562A">
            <w:pPr>
              <w:rPr>
                <w:rFonts w:ascii="Arial" w:hAnsi="Arial" w:cs="Arial"/>
              </w:rPr>
            </w:pPr>
          </w:p>
        </w:tc>
        <w:tc>
          <w:tcPr>
            <w:tcW w:w="3693" w:type="dxa"/>
            <w:gridSpan w:val="3"/>
          </w:tcPr>
          <w:p w14:paraId="13D7E186" w14:textId="77777777" w:rsidR="00B5562A" w:rsidRDefault="00B5562A">
            <w:pPr>
              <w:rPr>
                <w:rFonts w:ascii="Arial" w:hAnsi="Arial" w:cs="Arial"/>
              </w:rPr>
            </w:pPr>
          </w:p>
        </w:tc>
      </w:tr>
      <w:tr w:rsidR="00B5562A" w14:paraId="277A49F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2AE30333" w14:textId="58286E0F" w:rsidR="00A71BAD" w:rsidRDefault="00B5562A" w:rsidP="00996EB7">
            <w:pPr>
              <w:numPr>
                <w:ilvl w:val="0"/>
                <w:numId w:val="2"/>
              </w:numPr>
            </w:pPr>
            <w:r>
              <w:t xml:space="preserve">Trace the wrapped count and currency final count, less any transfers, if applicable, to the cage accountability or cash summary sheets.  </w:t>
            </w:r>
            <w:r>
              <w:rPr>
                <w:b/>
                <w:bCs/>
              </w:rPr>
              <w:t>(Asset Protection)</w:t>
            </w:r>
          </w:p>
        </w:tc>
        <w:tc>
          <w:tcPr>
            <w:tcW w:w="1050" w:type="dxa"/>
          </w:tcPr>
          <w:p w14:paraId="61FE97EA" w14:textId="77777777" w:rsidR="00B5562A" w:rsidRDefault="00B5562A">
            <w:pPr>
              <w:rPr>
                <w:rFonts w:ascii="Arial" w:hAnsi="Arial" w:cs="Arial"/>
              </w:rPr>
            </w:pPr>
          </w:p>
        </w:tc>
        <w:tc>
          <w:tcPr>
            <w:tcW w:w="3693" w:type="dxa"/>
            <w:gridSpan w:val="3"/>
          </w:tcPr>
          <w:p w14:paraId="7F16C46B" w14:textId="77777777" w:rsidR="00B5562A" w:rsidRDefault="00B5562A">
            <w:pPr>
              <w:rPr>
                <w:rFonts w:ascii="Arial" w:hAnsi="Arial" w:cs="Arial"/>
              </w:rPr>
            </w:pPr>
          </w:p>
        </w:tc>
      </w:tr>
      <w:tr w:rsidR="00B5562A" w14:paraId="3198CCA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9743D68" w14:textId="31A352C3" w:rsidR="00607096" w:rsidRDefault="00607096" w:rsidP="00996EB7">
            <w:pPr>
              <w:numPr>
                <w:ilvl w:val="0"/>
                <w:numId w:val="5"/>
              </w:numPr>
            </w:pPr>
            <w:r>
              <w:t xml:space="preserve">For the month in which a test day was selected, foot the </w:t>
            </w:r>
            <w:r w:rsidRPr="00EC6910">
              <w:t>daily</w:t>
            </w:r>
            <w:r w:rsidR="0097306E">
              <w:t xml:space="preserve"> gross revenue</w:t>
            </w:r>
            <w:r w:rsidRPr="00EC6910">
              <w:t xml:space="preserve"> amount (or current period </w:t>
            </w:r>
            <w:r w:rsidR="0097306E">
              <w:t>gross revenue</w:t>
            </w:r>
            <w:r w:rsidRPr="00EC6910">
              <w:t xml:space="preserve"> </w:t>
            </w:r>
            <w:r w:rsidR="003228E2" w:rsidRPr="00EC6910">
              <w:t>total</w:t>
            </w:r>
            <w:r w:rsidRPr="00EC6910">
              <w:t>) in the slot analysis report and trace the footed total to the month-to-date total in the slot analysis report</w:t>
            </w:r>
            <w:r>
              <w:t xml:space="preserve">.  </w:t>
            </w:r>
            <w:r>
              <w:rPr>
                <w:b/>
                <w:bCs/>
              </w:rPr>
              <w:t>(Revenue)</w:t>
            </w:r>
          </w:p>
          <w:p w14:paraId="1B648CDC" w14:textId="77777777" w:rsidR="00607096" w:rsidRPr="00DD49AB" w:rsidRDefault="00607096" w:rsidP="00607096">
            <w:pPr>
              <w:rPr>
                <w:szCs w:val="12"/>
              </w:rPr>
            </w:pPr>
          </w:p>
          <w:p w14:paraId="7B7C91BC" w14:textId="77777777" w:rsidR="00B5562A" w:rsidRDefault="00607096">
            <w:pPr>
              <w:ind w:left="353"/>
            </w:pPr>
            <w:r>
              <w:rPr>
                <w:b/>
                <w:bCs/>
              </w:rPr>
              <w:t xml:space="preserve">Note:  </w:t>
            </w:r>
            <w:r>
              <w:t xml:space="preserve">If the </w:t>
            </w:r>
            <w:r w:rsidRPr="00EC6910">
              <w:t>slot analysis report</w:t>
            </w:r>
            <w:r>
              <w:t xml:space="preserve"> is a computerized document, footing need only be done for one of the two test dates selected for the fiscal year. </w:t>
            </w:r>
          </w:p>
        </w:tc>
        <w:tc>
          <w:tcPr>
            <w:tcW w:w="1050" w:type="dxa"/>
          </w:tcPr>
          <w:p w14:paraId="74EFD3E0" w14:textId="77777777" w:rsidR="00B5562A" w:rsidRDefault="00B5562A">
            <w:pPr>
              <w:rPr>
                <w:rFonts w:ascii="Arial" w:hAnsi="Arial" w:cs="Arial"/>
              </w:rPr>
            </w:pPr>
          </w:p>
        </w:tc>
        <w:tc>
          <w:tcPr>
            <w:tcW w:w="3693" w:type="dxa"/>
            <w:gridSpan w:val="3"/>
          </w:tcPr>
          <w:p w14:paraId="2FA03EDF" w14:textId="77777777" w:rsidR="00B5562A" w:rsidRDefault="00B5562A">
            <w:pPr>
              <w:rPr>
                <w:rFonts w:ascii="Arial" w:hAnsi="Arial" w:cs="Arial"/>
              </w:rPr>
            </w:pPr>
          </w:p>
        </w:tc>
      </w:tr>
      <w:tr w:rsidR="00B5562A" w14:paraId="6F03D18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4DEFDBC3" w14:textId="61AAD064" w:rsidR="00B5562A" w:rsidRDefault="00B5562A" w:rsidP="00996EB7">
            <w:pPr>
              <w:numPr>
                <w:ilvl w:val="0"/>
                <w:numId w:val="5"/>
              </w:numPr>
            </w:pPr>
            <w:r w:rsidRPr="00EC6910">
              <w:t xml:space="preserve">For the month in the previous procedure, trace the </w:t>
            </w:r>
            <w:r w:rsidR="0097306E">
              <w:t>gross revenue</w:t>
            </w:r>
            <w:r w:rsidRPr="00EC6910">
              <w:t xml:space="preserve"> per the </w:t>
            </w:r>
            <w:r w:rsidR="004449E3" w:rsidRPr="00EC6910">
              <w:t xml:space="preserve">slot analysis report </w:t>
            </w:r>
            <w:r w:rsidRPr="00EC6910">
              <w:t xml:space="preserve">to the </w:t>
            </w:r>
            <w:r w:rsidR="004449E3" w:rsidRPr="00EC6910">
              <w:t>monthly slot summary report</w:t>
            </w:r>
            <w:r>
              <w:t xml:space="preserve">.    </w:t>
            </w:r>
            <w:r>
              <w:rPr>
                <w:b/>
                <w:bCs/>
              </w:rPr>
              <w:t>(Revenue)</w:t>
            </w:r>
          </w:p>
        </w:tc>
        <w:tc>
          <w:tcPr>
            <w:tcW w:w="1050" w:type="dxa"/>
          </w:tcPr>
          <w:p w14:paraId="05CEB16B" w14:textId="77777777" w:rsidR="00B5562A" w:rsidRDefault="00B5562A">
            <w:pPr>
              <w:rPr>
                <w:rFonts w:ascii="Arial" w:hAnsi="Arial" w:cs="Arial"/>
              </w:rPr>
            </w:pPr>
          </w:p>
        </w:tc>
        <w:tc>
          <w:tcPr>
            <w:tcW w:w="3693" w:type="dxa"/>
            <w:gridSpan w:val="3"/>
          </w:tcPr>
          <w:p w14:paraId="657906B9" w14:textId="77777777" w:rsidR="00B5562A" w:rsidRDefault="00B5562A">
            <w:pPr>
              <w:rPr>
                <w:rFonts w:ascii="Arial" w:hAnsi="Arial" w:cs="Arial"/>
              </w:rPr>
            </w:pPr>
          </w:p>
        </w:tc>
      </w:tr>
      <w:tr w:rsidR="004449E3" w14:paraId="1B56B1EC"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008A1E95" w14:textId="71096617" w:rsidR="004449E3" w:rsidRPr="00EC6910" w:rsidRDefault="00B61AB5" w:rsidP="00996EB7">
            <w:pPr>
              <w:numPr>
                <w:ilvl w:val="0"/>
                <w:numId w:val="5"/>
              </w:numPr>
            </w:pPr>
            <w:r w:rsidRPr="00EC6910">
              <w:t xml:space="preserve">For the month in the previous procedure, review all adjustments on the monthly slot summary report made to the month-to-date </w:t>
            </w:r>
            <w:r w:rsidR="0097306E">
              <w:t xml:space="preserve">gross revenue </w:t>
            </w:r>
            <w:r w:rsidRPr="00EC6910">
              <w:t xml:space="preserve">per the slot analysis report for propriety and proper supporting documentation.  </w:t>
            </w:r>
            <w:r w:rsidRPr="00EC6910">
              <w:rPr>
                <w:b/>
              </w:rPr>
              <w:t>(Revenue)</w:t>
            </w:r>
          </w:p>
        </w:tc>
        <w:tc>
          <w:tcPr>
            <w:tcW w:w="1050" w:type="dxa"/>
          </w:tcPr>
          <w:p w14:paraId="4DC3FB64" w14:textId="77777777" w:rsidR="004449E3" w:rsidRDefault="004449E3">
            <w:pPr>
              <w:rPr>
                <w:rFonts w:ascii="Arial" w:hAnsi="Arial" w:cs="Arial"/>
              </w:rPr>
            </w:pPr>
          </w:p>
        </w:tc>
        <w:tc>
          <w:tcPr>
            <w:tcW w:w="3693" w:type="dxa"/>
            <w:gridSpan w:val="3"/>
          </w:tcPr>
          <w:p w14:paraId="72900D2F" w14:textId="77777777" w:rsidR="004449E3" w:rsidRDefault="004449E3">
            <w:pPr>
              <w:rPr>
                <w:rFonts w:ascii="Arial" w:hAnsi="Arial" w:cs="Arial"/>
              </w:rPr>
            </w:pPr>
          </w:p>
        </w:tc>
      </w:tr>
      <w:tr w:rsidR="00B61AB5" w14:paraId="5E2DA0AA"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7F4694C" w14:textId="77777777" w:rsidR="00B61AB5" w:rsidRPr="00EC6910" w:rsidRDefault="00B61AB5" w:rsidP="00996EB7">
            <w:pPr>
              <w:numPr>
                <w:ilvl w:val="0"/>
                <w:numId w:val="5"/>
              </w:numPr>
            </w:pPr>
            <w:r w:rsidRPr="00EC6910">
              <w:lastRenderedPageBreak/>
              <w:t>Foot and cross foot the monthly slot summary report.</w:t>
            </w:r>
            <w:r w:rsidR="00932BE0" w:rsidRPr="00EC6910">
              <w:t xml:space="preserve">  </w:t>
            </w:r>
            <w:r w:rsidR="00932BE0" w:rsidRPr="00EC6910">
              <w:rPr>
                <w:b/>
              </w:rPr>
              <w:t>(Revenue)</w:t>
            </w:r>
          </w:p>
        </w:tc>
        <w:tc>
          <w:tcPr>
            <w:tcW w:w="1050" w:type="dxa"/>
          </w:tcPr>
          <w:p w14:paraId="26787C27" w14:textId="77777777" w:rsidR="00B61AB5" w:rsidRDefault="00B61AB5">
            <w:pPr>
              <w:rPr>
                <w:rFonts w:ascii="Arial" w:hAnsi="Arial" w:cs="Arial"/>
              </w:rPr>
            </w:pPr>
          </w:p>
        </w:tc>
        <w:tc>
          <w:tcPr>
            <w:tcW w:w="3693" w:type="dxa"/>
            <w:gridSpan w:val="3"/>
          </w:tcPr>
          <w:p w14:paraId="773F9B16" w14:textId="77777777" w:rsidR="00B61AB5" w:rsidRDefault="00B61AB5">
            <w:pPr>
              <w:rPr>
                <w:rFonts w:ascii="Arial" w:hAnsi="Arial" w:cs="Arial"/>
              </w:rPr>
            </w:pPr>
          </w:p>
        </w:tc>
      </w:tr>
      <w:tr w:rsidR="00B61AB5" w14:paraId="701E8A74"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7797566" w14:textId="109E716D" w:rsidR="00B61AB5" w:rsidRDefault="00B61AB5" w:rsidP="00996EB7">
            <w:pPr>
              <w:numPr>
                <w:ilvl w:val="0"/>
                <w:numId w:val="5"/>
              </w:numPr>
              <w:rPr>
                <w:b/>
                <w:u w:val="single"/>
              </w:rPr>
            </w:pPr>
            <w:r w:rsidRPr="00EC6910">
              <w:t xml:space="preserve">For the month in the previous procedure, trace the month-to-date </w:t>
            </w:r>
            <w:r w:rsidR="0097306E">
              <w:t xml:space="preserve">gross revenue </w:t>
            </w:r>
            <w:r w:rsidRPr="00EC6910">
              <w:t>on the monthly slot summary report to the general ledger and monthly NGC tax return.</w:t>
            </w:r>
            <w:r w:rsidR="003228E2" w:rsidRPr="00EC6910">
              <w:t xml:space="preserve"> </w:t>
            </w:r>
            <w:r w:rsidR="003228E2" w:rsidRPr="00EC6910">
              <w:rPr>
                <w:b/>
              </w:rPr>
              <w:t>(</w:t>
            </w:r>
            <w:proofErr w:type="gramStart"/>
            <w:r w:rsidR="003228E2" w:rsidRPr="00EC6910">
              <w:rPr>
                <w:b/>
              </w:rPr>
              <w:t>Revenue)</w:t>
            </w:r>
            <w:r w:rsidR="003228E2">
              <w:t xml:space="preserve">  Examine</w:t>
            </w:r>
            <w:proofErr w:type="gramEnd"/>
            <w:r w:rsidR="003228E2">
              <w:t xml:space="preserve"> general ledger accounts for the propriety of any activity that affects reported revenue.</w:t>
            </w:r>
          </w:p>
        </w:tc>
        <w:tc>
          <w:tcPr>
            <w:tcW w:w="1050" w:type="dxa"/>
          </w:tcPr>
          <w:p w14:paraId="29998327" w14:textId="77777777" w:rsidR="00B61AB5" w:rsidRDefault="00B61AB5">
            <w:pPr>
              <w:rPr>
                <w:rFonts w:ascii="Arial" w:hAnsi="Arial" w:cs="Arial"/>
              </w:rPr>
            </w:pPr>
          </w:p>
        </w:tc>
        <w:tc>
          <w:tcPr>
            <w:tcW w:w="3693" w:type="dxa"/>
            <w:gridSpan w:val="3"/>
          </w:tcPr>
          <w:p w14:paraId="01493262" w14:textId="77777777" w:rsidR="00B61AB5" w:rsidRDefault="00B61AB5">
            <w:pPr>
              <w:rPr>
                <w:rFonts w:ascii="Arial" w:hAnsi="Arial" w:cs="Arial"/>
              </w:rPr>
            </w:pPr>
          </w:p>
        </w:tc>
      </w:tr>
      <w:tr w:rsidR="00B5562A" w14:paraId="5D2D332A"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EB26E77" w14:textId="297219D2" w:rsidR="00B5562A" w:rsidRDefault="00B5562A" w:rsidP="00996EB7">
            <w:pPr>
              <w:numPr>
                <w:ilvl w:val="0"/>
                <w:numId w:val="5"/>
              </w:numPr>
            </w:pPr>
            <w:r>
              <w:t>For the monthly NGC tax return reviewed in the previous step, use the appropriate supporting documentation</w:t>
            </w:r>
            <w:r w:rsidR="00A71BAD">
              <w:t>, including those documents used for wagering accounts,</w:t>
            </w:r>
            <w:r>
              <w:t xml:space="preserve"> to verify other components of slots on the NGC tax return (excluding </w:t>
            </w:r>
            <w:r w:rsidR="00B07978">
              <w:t xml:space="preserve">number </w:t>
            </w:r>
            <w:r>
              <w:t>of units).</w:t>
            </w:r>
          </w:p>
        </w:tc>
        <w:tc>
          <w:tcPr>
            <w:tcW w:w="1050" w:type="dxa"/>
          </w:tcPr>
          <w:p w14:paraId="7E44A704" w14:textId="77777777" w:rsidR="00B5562A" w:rsidRDefault="00B5562A">
            <w:pPr>
              <w:rPr>
                <w:rFonts w:ascii="Arial" w:hAnsi="Arial" w:cs="Arial"/>
              </w:rPr>
            </w:pPr>
          </w:p>
        </w:tc>
        <w:tc>
          <w:tcPr>
            <w:tcW w:w="3693" w:type="dxa"/>
            <w:gridSpan w:val="3"/>
          </w:tcPr>
          <w:p w14:paraId="2AC831DA" w14:textId="77777777" w:rsidR="00B5562A" w:rsidRDefault="00B5562A">
            <w:pPr>
              <w:rPr>
                <w:rFonts w:ascii="Arial" w:hAnsi="Arial" w:cs="Arial"/>
              </w:rPr>
            </w:pPr>
          </w:p>
        </w:tc>
      </w:tr>
      <w:tr w:rsidR="005C470F" w14:paraId="0E98A780" w14:textId="77777777" w:rsidTr="0099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0480BC6" w14:textId="77777777" w:rsidR="005C470F" w:rsidRPr="000145F0" w:rsidRDefault="005C470F" w:rsidP="005C470F">
            <w:pPr>
              <w:numPr>
                <w:ilvl w:val="0"/>
                <w:numId w:val="7"/>
              </w:numPr>
            </w:pPr>
            <w:r>
              <w:t xml:space="preserve">For the month in which cross-gaming area transactions occurred verify that revenue was properly reported for both gaming areas.  </w:t>
            </w:r>
            <w:r w:rsidRPr="000145F0">
              <w:rPr>
                <w:b/>
              </w:rPr>
              <w:t>(Revenue)</w:t>
            </w:r>
          </w:p>
          <w:p w14:paraId="76F88CDC" w14:textId="77777777" w:rsidR="005C470F" w:rsidRDefault="005C470F" w:rsidP="005C470F"/>
          <w:p w14:paraId="25B92DAD" w14:textId="3840BD46" w:rsidR="005C470F" w:rsidRDefault="005C470F" w:rsidP="005C470F">
            <w:pPr>
              <w:ind w:left="360"/>
            </w:pPr>
            <w:r w:rsidRPr="000145F0">
              <w:rPr>
                <w:b/>
              </w:rPr>
              <w:t>Note:</w:t>
            </w:r>
            <w:r>
              <w:rPr>
                <w:b/>
              </w:rPr>
              <w:t xml:space="preserve"> </w:t>
            </w:r>
            <w:r w:rsidRPr="000145F0">
              <w:t>Cross-gaming area transaction may occur through mobile</w:t>
            </w:r>
            <w:r>
              <w:t xml:space="preserve"> wallet/wagering instruments/vouchers.</w:t>
            </w:r>
          </w:p>
        </w:tc>
        <w:tc>
          <w:tcPr>
            <w:tcW w:w="1050" w:type="dxa"/>
            <w:tcBorders>
              <w:bottom w:val="single" w:sz="4" w:space="0" w:color="auto"/>
            </w:tcBorders>
          </w:tcPr>
          <w:p w14:paraId="4C19F9B3" w14:textId="77777777" w:rsidR="005C470F" w:rsidRDefault="005C470F">
            <w:pPr>
              <w:rPr>
                <w:rFonts w:ascii="Arial" w:hAnsi="Arial" w:cs="Arial"/>
              </w:rPr>
            </w:pPr>
          </w:p>
        </w:tc>
        <w:tc>
          <w:tcPr>
            <w:tcW w:w="3693" w:type="dxa"/>
            <w:gridSpan w:val="3"/>
            <w:tcBorders>
              <w:bottom w:val="single" w:sz="4" w:space="0" w:color="auto"/>
            </w:tcBorders>
          </w:tcPr>
          <w:p w14:paraId="1B8D162E" w14:textId="77777777" w:rsidR="005C470F" w:rsidRDefault="005C470F">
            <w:pPr>
              <w:rPr>
                <w:rFonts w:ascii="Arial" w:hAnsi="Arial" w:cs="Arial"/>
              </w:rPr>
            </w:pPr>
          </w:p>
        </w:tc>
      </w:tr>
      <w:tr w:rsidR="005C470F" w14:paraId="293EA8C9" w14:textId="77777777" w:rsidTr="0099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A2BA629" w14:textId="77777777" w:rsidR="005C470F" w:rsidRPr="000C2AFD" w:rsidRDefault="005C470F" w:rsidP="005C470F">
            <w:pPr>
              <w:numPr>
                <w:ilvl w:val="0"/>
                <w:numId w:val="7"/>
              </w:numPr>
            </w:pPr>
            <w:r>
              <w:t xml:space="preserve">For the month in which cross-property transactions occurred, verify that revenue was properly reported for applicable gaming areas.  </w:t>
            </w:r>
            <w:r w:rsidRPr="000C2AFD">
              <w:rPr>
                <w:b/>
              </w:rPr>
              <w:t>(Revenue)</w:t>
            </w:r>
          </w:p>
          <w:p w14:paraId="48769233" w14:textId="77777777" w:rsidR="005C470F" w:rsidRDefault="005C470F" w:rsidP="005C470F">
            <w:pPr>
              <w:ind w:left="360"/>
            </w:pPr>
          </w:p>
        </w:tc>
        <w:tc>
          <w:tcPr>
            <w:tcW w:w="1050" w:type="dxa"/>
            <w:tcBorders>
              <w:bottom w:val="single" w:sz="4" w:space="0" w:color="auto"/>
            </w:tcBorders>
          </w:tcPr>
          <w:p w14:paraId="07D37EB4" w14:textId="77777777" w:rsidR="005C470F" w:rsidRDefault="005C470F">
            <w:pPr>
              <w:rPr>
                <w:rFonts w:ascii="Arial" w:hAnsi="Arial" w:cs="Arial"/>
              </w:rPr>
            </w:pPr>
          </w:p>
        </w:tc>
        <w:tc>
          <w:tcPr>
            <w:tcW w:w="3693" w:type="dxa"/>
            <w:gridSpan w:val="3"/>
            <w:tcBorders>
              <w:bottom w:val="single" w:sz="4" w:space="0" w:color="auto"/>
            </w:tcBorders>
          </w:tcPr>
          <w:p w14:paraId="57B08081" w14:textId="77777777" w:rsidR="005C470F" w:rsidRDefault="005C470F">
            <w:pPr>
              <w:rPr>
                <w:rFonts w:ascii="Arial" w:hAnsi="Arial" w:cs="Arial"/>
              </w:rPr>
            </w:pPr>
          </w:p>
        </w:tc>
      </w:tr>
      <w:tr w:rsidR="005C470F" w14:paraId="1827B140" w14:textId="77777777" w:rsidTr="0099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133EECB" w14:textId="1E7F532B" w:rsidR="005C470F" w:rsidRDefault="005C470F" w:rsidP="005C470F">
            <w:pPr>
              <w:numPr>
                <w:ilvl w:val="0"/>
                <w:numId w:val="7"/>
              </w:numPr>
            </w:pPr>
            <w:r>
              <w:t>For the month in which wagers attributable to multiple gaming areas (blended game with live dealer) occurred</w:t>
            </w:r>
            <w:r w:rsidR="008204FE">
              <w:t>,</w:t>
            </w:r>
            <w:r>
              <w:t xml:space="preserve"> verify that revenue was properly reported for applicable gaming areas. </w:t>
            </w:r>
            <w:r w:rsidRPr="000C2AFD">
              <w:rPr>
                <w:b/>
              </w:rPr>
              <w:t>(Revenue)</w:t>
            </w:r>
          </w:p>
          <w:p w14:paraId="305CBE22" w14:textId="77777777" w:rsidR="005C470F" w:rsidRDefault="005C470F" w:rsidP="005C470F"/>
          <w:p w14:paraId="09A8E581" w14:textId="70F6F6C4" w:rsidR="005C470F" w:rsidRDefault="005C470F" w:rsidP="005C470F">
            <w:pPr>
              <w:ind w:left="360"/>
            </w:pPr>
            <w:r w:rsidRPr="000C2AFD">
              <w:rPr>
                <w:b/>
              </w:rPr>
              <w:t>Example:</w:t>
            </w:r>
            <w:r>
              <w:t xml:space="preserve"> Slots connected to table games with live dealer</w:t>
            </w:r>
          </w:p>
        </w:tc>
        <w:tc>
          <w:tcPr>
            <w:tcW w:w="1050" w:type="dxa"/>
            <w:tcBorders>
              <w:bottom w:val="single" w:sz="4" w:space="0" w:color="auto"/>
            </w:tcBorders>
          </w:tcPr>
          <w:p w14:paraId="2F793C0A" w14:textId="77777777" w:rsidR="005C470F" w:rsidRDefault="005C470F">
            <w:pPr>
              <w:rPr>
                <w:rFonts w:ascii="Arial" w:hAnsi="Arial" w:cs="Arial"/>
              </w:rPr>
            </w:pPr>
          </w:p>
        </w:tc>
        <w:tc>
          <w:tcPr>
            <w:tcW w:w="3693" w:type="dxa"/>
            <w:gridSpan w:val="3"/>
            <w:tcBorders>
              <w:bottom w:val="single" w:sz="4" w:space="0" w:color="auto"/>
            </w:tcBorders>
          </w:tcPr>
          <w:p w14:paraId="59010B9F" w14:textId="77777777" w:rsidR="005C470F" w:rsidRDefault="005C470F">
            <w:pPr>
              <w:rPr>
                <w:rFonts w:ascii="Arial" w:hAnsi="Arial" w:cs="Arial"/>
              </w:rPr>
            </w:pPr>
          </w:p>
        </w:tc>
      </w:tr>
      <w:tr w:rsidR="00B5562A" w14:paraId="611B4B04" w14:textId="77777777" w:rsidTr="0099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2A10AA3A" w14:textId="1955621C" w:rsidR="00B5562A" w:rsidRDefault="00B5562A" w:rsidP="005C470F">
            <w:pPr>
              <w:numPr>
                <w:ilvl w:val="0"/>
                <w:numId w:val="8"/>
              </w:numPr>
            </w:pPr>
            <w:r>
              <w:t xml:space="preserve">For the month in which a test day was selected, ensure the correct dollar amount of expired payout receipts or wagering </w:t>
            </w:r>
            <w:proofErr w:type="gramStart"/>
            <w:r>
              <w:t>instruments</w:t>
            </w:r>
            <w:r w:rsidR="008204FE">
              <w:t xml:space="preserve"> </w:t>
            </w:r>
            <w:r>
              <w:t xml:space="preserve"> was</w:t>
            </w:r>
            <w:proofErr w:type="gramEnd"/>
            <w:r>
              <w:t xml:space="preserve"> included in the computation of revenue on the NGC tax returns.  </w:t>
            </w:r>
            <w:r>
              <w:rPr>
                <w:b/>
                <w:bCs/>
              </w:rPr>
              <w:t>(Revenue)</w:t>
            </w:r>
          </w:p>
        </w:tc>
        <w:tc>
          <w:tcPr>
            <w:tcW w:w="1050" w:type="dxa"/>
            <w:tcBorders>
              <w:bottom w:val="single" w:sz="4" w:space="0" w:color="auto"/>
            </w:tcBorders>
          </w:tcPr>
          <w:p w14:paraId="5C5F2FFC" w14:textId="77777777" w:rsidR="00B5562A" w:rsidRDefault="00B5562A">
            <w:pPr>
              <w:rPr>
                <w:rFonts w:ascii="Arial" w:hAnsi="Arial" w:cs="Arial"/>
              </w:rPr>
            </w:pPr>
          </w:p>
        </w:tc>
        <w:tc>
          <w:tcPr>
            <w:tcW w:w="3693" w:type="dxa"/>
            <w:gridSpan w:val="3"/>
            <w:tcBorders>
              <w:bottom w:val="single" w:sz="4" w:space="0" w:color="auto"/>
            </w:tcBorders>
          </w:tcPr>
          <w:p w14:paraId="4AC0CA3C" w14:textId="77777777" w:rsidR="00B5562A" w:rsidRDefault="00B5562A">
            <w:pPr>
              <w:rPr>
                <w:rFonts w:ascii="Arial" w:hAnsi="Arial" w:cs="Arial"/>
              </w:rPr>
            </w:pPr>
          </w:p>
        </w:tc>
      </w:tr>
      <w:tr w:rsidR="00FD1C78" w14:paraId="7E22C646" w14:textId="77777777" w:rsidTr="0099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1E160EA1" w14:textId="4B4B4A3F" w:rsidR="00FD1C78" w:rsidRPr="00870C0E" w:rsidRDefault="00FD1C78" w:rsidP="005C470F">
            <w:pPr>
              <w:numPr>
                <w:ilvl w:val="0"/>
                <w:numId w:val="8"/>
              </w:numPr>
            </w:pPr>
            <w:r>
              <w:t xml:space="preserve">For the month in which a test day was selected, review supporting documentation for the month and determine that appeasement payouts do not have an effect on reported revenue.  </w:t>
            </w:r>
            <w:r>
              <w:rPr>
                <w:b/>
              </w:rPr>
              <w:t>Regulation 6.110(</w:t>
            </w:r>
            <w:bookmarkStart w:id="0" w:name="_GoBack"/>
            <w:bookmarkEnd w:id="0"/>
            <w:r>
              <w:rPr>
                <w:b/>
              </w:rPr>
              <w:t>2) (Revenue)</w:t>
            </w:r>
          </w:p>
          <w:p w14:paraId="4F3BE851" w14:textId="77777777" w:rsidR="00FD1C78" w:rsidRDefault="00FD1C78" w:rsidP="00FD1C78">
            <w:pPr>
              <w:ind w:left="360"/>
            </w:pPr>
          </w:p>
          <w:p w14:paraId="21A15B11" w14:textId="484C3D3F" w:rsidR="00FD1C78" w:rsidRDefault="00FD1C78" w:rsidP="0026719C">
            <w:pPr>
              <w:pStyle w:val="List"/>
              <w:spacing w:after="120"/>
              <w:ind w:firstLine="0"/>
            </w:pPr>
            <w:r>
              <w:rPr>
                <w:b/>
                <w:bCs/>
              </w:rPr>
              <w:t>Note:</w:t>
            </w:r>
            <w:r>
              <w:t xml:space="preserve">  If no appeasement payouts were completed in the month selected, then choose another month in which appeasement payouts were made.</w:t>
            </w:r>
          </w:p>
        </w:tc>
        <w:tc>
          <w:tcPr>
            <w:tcW w:w="1050" w:type="dxa"/>
            <w:shd w:val="clear" w:color="auto" w:fill="auto"/>
          </w:tcPr>
          <w:p w14:paraId="462F6D4C" w14:textId="77777777" w:rsidR="00FD1C78" w:rsidRDefault="00FD1C78" w:rsidP="00FD1C78">
            <w:pPr>
              <w:rPr>
                <w:rFonts w:ascii="Arial" w:hAnsi="Arial" w:cs="Arial"/>
              </w:rPr>
            </w:pPr>
          </w:p>
        </w:tc>
        <w:tc>
          <w:tcPr>
            <w:tcW w:w="3693" w:type="dxa"/>
            <w:gridSpan w:val="3"/>
            <w:shd w:val="clear" w:color="auto" w:fill="auto"/>
          </w:tcPr>
          <w:p w14:paraId="2480D973" w14:textId="77777777" w:rsidR="00FD1C78" w:rsidRDefault="00FD1C78" w:rsidP="00FD1C78">
            <w:pPr>
              <w:rPr>
                <w:rFonts w:ascii="Arial" w:hAnsi="Arial" w:cs="Arial"/>
              </w:rPr>
            </w:pPr>
          </w:p>
        </w:tc>
      </w:tr>
      <w:tr w:rsidR="00FD1C78" w14:paraId="5CA1111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6F19D5E1" w14:textId="761F814B" w:rsidR="00FD1C78" w:rsidRDefault="00FD1C78" w:rsidP="005C470F">
            <w:pPr>
              <w:pStyle w:val="List"/>
              <w:numPr>
                <w:ilvl w:val="0"/>
                <w:numId w:val="8"/>
              </w:numPr>
              <w:spacing w:after="120"/>
            </w:pPr>
            <w:r>
              <w:lastRenderedPageBreak/>
              <w:t>For the month in which a test day was selected, if revenue is reported on the NGC tax returns on a modified accrual basis (e.g</w:t>
            </w:r>
            <w:r w:rsidRPr="00EC6910">
              <w:t xml:space="preserve">., coin/ currency/wagering instrument drop is computed using coin drop/ </w:t>
            </w:r>
            <w:r>
              <w:t>bill-in/voucher-in meters for those machines not dropped at the end of the month) perform the following:</w:t>
            </w:r>
          </w:p>
        </w:tc>
        <w:tc>
          <w:tcPr>
            <w:tcW w:w="1050" w:type="dxa"/>
            <w:shd w:val="pct15" w:color="auto" w:fill="auto"/>
          </w:tcPr>
          <w:p w14:paraId="4D2F1B7D" w14:textId="77777777" w:rsidR="00FD1C78" w:rsidRDefault="00FD1C78" w:rsidP="00FD1C78">
            <w:pPr>
              <w:rPr>
                <w:rFonts w:ascii="Arial" w:hAnsi="Arial" w:cs="Arial"/>
              </w:rPr>
            </w:pPr>
          </w:p>
          <w:p w14:paraId="233E62E7" w14:textId="77777777" w:rsidR="00FD1C78" w:rsidRPr="00AD2262" w:rsidRDefault="00FD1C78" w:rsidP="00FD1C78">
            <w:pPr>
              <w:rPr>
                <w:rFonts w:ascii="Arial" w:hAnsi="Arial" w:cs="Arial"/>
              </w:rPr>
            </w:pPr>
          </w:p>
        </w:tc>
        <w:tc>
          <w:tcPr>
            <w:tcW w:w="3693" w:type="dxa"/>
            <w:gridSpan w:val="3"/>
            <w:shd w:val="pct15" w:color="auto" w:fill="auto"/>
          </w:tcPr>
          <w:p w14:paraId="2B64FF40" w14:textId="77777777" w:rsidR="00FD1C78" w:rsidRDefault="00FD1C78" w:rsidP="00FD1C78">
            <w:pPr>
              <w:rPr>
                <w:rFonts w:ascii="Arial" w:hAnsi="Arial" w:cs="Arial"/>
              </w:rPr>
            </w:pPr>
          </w:p>
        </w:tc>
      </w:tr>
      <w:tr w:rsidR="00FD1C78" w14:paraId="3C294FB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2A198D34" w14:textId="7BA19752" w:rsidR="00FD1C78" w:rsidRDefault="00FD1C78" w:rsidP="0026719C">
            <w:pPr>
              <w:numPr>
                <w:ilvl w:val="1"/>
                <w:numId w:val="3"/>
              </w:numPr>
              <w:ind w:left="713" w:hanging="360"/>
            </w:pPr>
            <w:r>
              <w:t xml:space="preserve">Verify the correct accrual amounts, as supported by documentation, have been included in the computation of revenue on the NGC tax returns.  </w:t>
            </w:r>
            <w:r>
              <w:rPr>
                <w:b/>
                <w:bCs/>
              </w:rPr>
              <w:t>MICS #176</w:t>
            </w:r>
            <w:r w:rsidRPr="00EC6910">
              <w:rPr>
                <w:b/>
                <w:bCs/>
              </w:rPr>
              <w:t>(b)</w:t>
            </w:r>
            <w:r>
              <w:rPr>
                <w:b/>
                <w:bCs/>
              </w:rPr>
              <w:t>; (Revenue)</w:t>
            </w:r>
          </w:p>
        </w:tc>
        <w:tc>
          <w:tcPr>
            <w:tcW w:w="1050" w:type="dxa"/>
          </w:tcPr>
          <w:p w14:paraId="314AC24F" w14:textId="77777777" w:rsidR="00FD1C78" w:rsidRDefault="00FD1C78" w:rsidP="00FD1C78">
            <w:pPr>
              <w:rPr>
                <w:rFonts w:ascii="Arial" w:hAnsi="Arial" w:cs="Arial"/>
              </w:rPr>
            </w:pPr>
          </w:p>
        </w:tc>
        <w:tc>
          <w:tcPr>
            <w:tcW w:w="3693" w:type="dxa"/>
            <w:gridSpan w:val="3"/>
          </w:tcPr>
          <w:p w14:paraId="1C0D0FF1" w14:textId="77777777" w:rsidR="00FD1C78" w:rsidRDefault="00FD1C78" w:rsidP="00FD1C78">
            <w:pPr>
              <w:pStyle w:val="Header"/>
              <w:tabs>
                <w:tab w:val="clear" w:pos="4320"/>
                <w:tab w:val="clear" w:pos="8640"/>
              </w:tabs>
            </w:pPr>
          </w:p>
        </w:tc>
      </w:tr>
      <w:tr w:rsidR="00FD1C78" w14:paraId="0EC6E6FB"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7E3FE0B" w14:textId="01372C1D" w:rsidR="00FD1C78" w:rsidRDefault="00FD1C78" w:rsidP="0026719C">
            <w:pPr>
              <w:numPr>
                <w:ilvl w:val="1"/>
                <w:numId w:val="3"/>
              </w:numPr>
              <w:ind w:left="713" w:hanging="360"/>
            </w:pPr>
            <w:r>
              <w:t xml:space="preserve">Perform the reconciliation required by </w:t>
            </w:r>
            <w:r>
              <w:rPr>
                <w:b/>
                <w:bCs/>
              </w:rPr>
              <w:t>MICS #176</w:t>
            </w:r>
            <w:r w:rsidRPr="00EC6910">
              <w:rPr>
                <w:b/>
                <w:bCs/>
              </w:rPr>
              <w:t xml:space="preserve">(f) </w:t>
            </w:r>
            <w:r>
              <w:t xml:space="preserve">to determine whether the accrual drop reported on the NGC tax return is accurate.  </w:t>
            </w:r>
            <w:r>
              <w:rPr>
                <w:b/>
                <w:bCs/>
              </w:rPr>
              <w:t>(Revenue)</w:t>
            </w:r>
          </w:p>
        </w:tc>
        <w:tc>
          <w:tcPr>
            <w:tcW w:w="1050" w:type="dxa"/>
            <w:tcBorders>
              <w:bottom w:val="single" w:sz="4" w:space="0" w:color="auto"/>
            </w:tcBorders>
          </w:tcPr>
          <w:p w14:paraId="2095A851" w14:textId="77777777" w:rsidR="00FD1C78" w:rsidRDefault="00FD1C78" w:rsidP="00FD1C78">
            <w:pPr>
              <w:rPr>
                <w:rFonts w:ascii="Arial" w:hAnsi="Arial" w:cs="Arial"/>
              </w:rPr>
            </w:pPr>
          </w:p>
        </w:tc>
        <w:tc>
          <w:tcPr>
            <w:tcW w:w="3693" w:type="dxa"/>
            <w:gridSpan w:val="3"/>
            <w:tcBorders>
              <w:bottom w:val="single" w:sz="4" w:space="0" w:color="auto"/>
            </w:tcBorders>
          </w:tcPr>
          <w:p w14:paraId="2866E75F" w14:textId="77777777" w:rsidR="00FD1C78" w:rsidRDefault="00FD1C78" w:rsidP="00FD1C78">
            <w:pPr>
              <w:rPr>
                <w:rFonts w:ascii="Arial" w:hAnsi="Arial" w:cs="Arial"/>
              </w:rPr>
            </w:pPr>
          </w:p>
        </w:tc>
      </w:tr>
      <w:tr w:rsidR="00FD1C78" w14:paraId="6D725D3B"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7F97D8E3" w14:textId="77777777" w:rsidR="00FD1C78" w:rsidRPr="00F26A92" w:rsidRDefault="00FD1C78" w:rsidP="005C470F">
            <w:pPr>
              <w:numPr>
                <w:ilvl w:val="0"/>
                <w:numId w:val="4"/>
              </w:numPr>
              <w:spacing w:after="120"/>
            </w:pPr>
            <w:r>
              <w:t xml:space="preserve">For any leased machines, verify that 100% of win is included in the slot analysis report.  </w:t>
            </w:r>
            <w:r>
              <w:rPr>
                <w:b/>
                <w:bCs/>
              </w:rPr>
              <w:t>(Revenue)</w:t>
            </w:r>
          </w:p>
        </w:tc>
        <w:tc>
          <w:tcPr>
            <w:tcW w:w="1050" w:type="dxa"/>
            <w:shd w:val="clear" w:color="auto" w:fill="auto"/>
          </w:tcPr>
          <w:p w14:paraId="7F687505" w14:textId="77777777" w:rsidR="00FD1C78" w:rsidRDefault="00FD1C78" w:rsidP="00FD1C78">
            <w:pPr>
              <w:rPr>
                <w:rFonts w:ascii="Arial" w:hAnsi="Arial" w:cs="Arial"/>
              </w:rPr>
            </w:pPr>
          </w:p>
        </w:tc>
        <w:tc>
          <w:tcPr>
            <w:tcW w:w="3693" w:type="dxa"/>
            <w:gridSpan w:val="3"/>
            <w:shd w:val="clear" w:color="auto" w:fill="auto"/>
          </w:tcPr>
          <w:p w14:paraId="655E4B0F" w14:textId="77777777" w:rsidR="00FD1C78" w:rsidRDefault="00FD1C78" w:rsidP="00FD1C78">
            <w:pPr>
              <w:rPr>
                <w:rFonts w:ascii="Arial" w:hAnsi="Arial" w:cs="Arial"/>
              </w:rPr>
            </w:pPr>
          </w:p>
        </w:tc>
      </w:tr>
      <w:tr w:rsidR="00FD1C78" w14:paraId="4FEBAF9D"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76F9805" w14:textId="77777777" w:rsidR="00FD1C78" w:rsidRDefault="00FD1C78" w:rsidP="0026719C">
            <w:pPr>
              <w:numPr>
                <w:ilvl w:val="0"/>
                <w:numId w:val="4"/>
              </w:numPr>
            </w:pPr>
            <w:r>
              <w:t xml:space="preserve">Determine that leased slot revenue has been properly reported to include both the lessor’s and operator’s shares in reported revenue.  </w:t>
            </w:r>
            <w:r>
              <w:rPr>
                <w:b/>
                <w:bCs/>
              </w:rPr>
              <w:t>(Revenue)</w:t>
            </w:r>
          </w:p>
        </w:tc>
        <w:tc>
          <w:tcPr>
            <w:tcW w:w="1050" w:type="dxa"/>
          </w:tcPr>
          <w:p w14:paraId="6F27CDC2" w14:textId="77777777" w:rsidR="00FD1C78" w:rsidRDefault="00FD1C78" w:rsidP="00FD1C78">
            <w:pPr>
              <w:rPr>
                <w:rFonts w:ascii="Arial" w:hAnsi="Arial" w:cs="Arial"/>
              </w:rPr>
            </w:pPr>
          </w:p>
        </w:tc>
        <w:tc>
          <w:tcPr>
            <w:tcW w:w="3693" w:type="dxa"/>
            <w:gridSpan w:val="3"/>
          </w:tcPr>
          <w:p w14:paraId="650D726D" w14:textId="77777777" w:rsidR="00FD1C78" w:rsidRDefault="00FD1C78" w:rsidP="00FD1C78">
            <w:pPr>
              <w:rPr>
                <w:rFonts w:ascii="Arial" w:hAnsi="Arial" w:cs="Arial"/>
              </w:rPr>
            </w:pPr>
          </w:p>
        </w:tc>
      </w:tr>
      <w:tr w:rsidR="00FD1C78" w14:paraId="2DB111C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1FBD0915" w14:textId="72874817" w:rsidR="00FD1C78" w:rsidRDefault="00FD1C78" w:rsidP="00996EB7">
            <w:pPr>
              <w:numPr>
                <w:ilvl w:val="0"/>
                <w:numId w:val="4"/>
              </w:numPr>
            </w:pPr>
            <w:r>
              <w:t>For the month in which a test day was selected, for one test day in which a contest/tournament was conducted, review the appropriate documentation</w:t>
            </w:r>
            <w:r w:rsidR="00996EB7">
              <w:t xml:space="preserve"> including the monthly contest/tournament log summarizing total entry fees/rebuys and total payouts (cash and non-cash prizes) for the day.  D</w:t>
            </w:r>
            <w:r>
              <w:t xml:space="preserve">etermine that </w:t>
            </w:r>
            <w:r w:rsidR="00996EB7">
              <w:t xml:space="preserve">all </w:t>
            </w:r>
            <w:r>
              <w:t>entry fees</w:t>
            </w:r>
            <w:r w:rsidR="00996EB7">
              <w:t xml:space="preserve">/rebuys and payouts are included on the monthly contest/tournament log.  </w:t>
            </w:r>
            <w:r w:rsidR="00996EB7">
              <w:rPr>
                <w:b/>
                <w:bCs/>
              </w:rPr>
              <w:t>(Revenue</w:t>
            </w:r>
            <w:r>
              <w:rPr>
                <w:b/>
                <w:bCs/>
              </w:rPr>
              <w:t>)</w:t>
            </w:r>
          </w:p>
          <w:p w14:paraId="32122573" w14:textId="77777777" w:rsidR="00FD1C78" w:rsidRPr="00176C58" w:rsidRDefault="00FD1C78" w:rsidP="00FD1C78">
            <w:pPr>
              <w:ind w:left="353"/>
              <w:rPr>
                <w:sz w:val="16"/>
                <w:szCs w:val="12"/>
              </w:rPr>
            </w:pPr>
          </w:p>
          <w:p w14:paraId="7D3376CE" w14:textId="77777777" w:rsidR="00FD1C78" w:rsidRDefault="00FD1C78" w:rsidP="00FD1C78">
            <w:pPr>
              <w:ind w:left="353"/>
            </w:pPr>
            <w:r>
              <w:rPr>
                <w:b/>
                <w:bCs/>
              </w:rPr>
              <w:t xml:space="preserve">Note:  </w:t>
            </w:r>
            <w:r>
              <w:t xml:space="preserve">If no contests/tournaments were offered in the month selected, then choose another month in which a contest/tournament was conducted.  </w:t>
            </w:r>
            <w:r w:rsidRPr="00EC6910">
              <w:t>When after reviewing other months and no such activity is noted, it is accept</w:t>
            </w:r>
            <w:r>
              <w:t>able to indicate that there was</w:t>
            </w:r>
            <w:r w:rsidRPr="00EC6910">
              <w:t xml:space="preserve"> no contest/tournament activity noted in the time periods reviewed and then also indicate the results of an inquiry of such activity.</w:t>
            </w:r>
          </w:p>
        </w:tc>
        <w:tc>
          <w:tcPr>
            <w:tcW w:w="1050" w:type="dxa"/>
          </w:tcPr>
          <w:p w14:paraId="3A61A85C" w14:textId="77777777" w:rsidR="00FD1C78" w:rsidRDefault="00FD1C78" w:rsidP="00FD1C78">
            <w:pPr>
              <w:rPr>
                <w:rFonts w:ascii="Arial" w:hAnsi="Arial" w:cs="Arial"/>
              </w:rPr>
            </w:pPr>
          </w:p>
        </w:tc>
        <w:tc>
          <w:tcPr>
            <w:tcW w:w="3693" w:type="dxa"/>
            <w:gridSpan w:val="3"/>
          </w:tcPr>
          <w:p w14:paraId="4F849E13" w14:textId="77777777" w:rsidR="00FD1C78" w:rsidRDefault="00FD1C78" w:rsidP="00FD1C78">
            <w:pPr>
              <w:rPr>
                <w:rFonts w:ascii="Arial" w:hAnsi="Arial" w:cs="Arial"/>
              </w:rPr>
            </w:pPr>
          </w:p>
        </w:tc>
      </w:tr>
      <w:tr w:rsidR="00297249" w14:paraId="4B75E7EE"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FF94E43" w14:textId="74F05DD9" w:rsidR="00297249" w:rsidRPr="00723076" w:rsidRDefault="00297249" w:rsidP="00297249">
            <w:pPr>
              <w:numPr>
                <w:ilvl w:val="0"/>
                <w:numId w:val="4"/>
              </w:numPr>
            </w:pPr>
            <w:r>
              <w:t xml:space="preserve">For the test day in the previous procedure, verify that revenue from contests/tournaments were properly calculated for each event.  Foot the revenue for each event in the month to determine that contest/tournament revenue was properly reported on the NGC tax return.  </w:t>
            </w:r>
            <w:r w:rsidRPr="00FC0397">
              <w:rPr>
                <w:b/>
              </w:rPr>
              <w:t>NRS</w:t>
            </w:r>
            <w:r>
              <w:rPr>
                <w:b/>
              </w:rPr>
              <w:t xml:space="preserve"> 463.0161 and </w:t>
            </w:r>
            <w:r w:rsidRPr="00877B05">
              <w:rPr>
                <w:b/>
              </w:rPr>
              <w:t>Regulation</w:t>
            </w:r>
            <w:r>
              <w:rPr>
                <w:b/>
              </w:rPr>
              <w:t xml:space="preserve"> 6.110(12</w:t>
            </w:r>
            <w:proofErr w:type="gramStart"/>
            <w:r>
              <w:rPr>
                <w:b/>
              </w:rPr>
              <w:t>)  (</w:t>
            </w:r>
            <w:proofErr w:type="gramEnd"/>
            <w:r>
              <w:rPr>
                <w:b/>
              </w:rPr>
              <w:t>Revenue)</w:t>
            </w:r>
          </w:p>
          <w:p w14:paraId="7A3C4C29" w14:textId="77777777" w:rsidR="00297249" w:rsidRPr="00723076" w:rsidRDefault="00297249" w:rsidP="00297249">
            <w:pPr>
              <w:ind w:left="360"/>
            </w:pPr>
          </w:p>
          <w:p w14:paraId="24BBE3D8" w14:textId="7642A957" w:rsidR="00297249" w:rsidRDefault="00297249" w:rsidP="001F40AA">
            <w:pPr>
              <w:ind w:left="360"/>
            </w:pPr>
            <w:r w:rsidRPr="005E55CC">
              <w:rPr>
                <w:b/>
              </w:rPr>
              <w:t>Note:</w:t>
            </w:r>
            <w:r>
              <w:rPr>
                <w:b/>
              </w:rPr>
              <w:t xml:space="preserve"> </w:t>
            </w:r>
            <w:r>
              <w:t xml:space="preserve"> The payouts paid out to participants must not be deducted from gross revenue in an amount that exceeds the entry fees.  Additionally, a licensee shall calculate and report gross revenue on an independent, contest-by-contest or tournament-by tournament, basis and only upon the conclusion of the contest or tournament.</w:t>
            </w:r>
          </w:p>
        </w:tc>
        <w:tc>
          <w:tcPr>
            <w:tcW w:w="1050" w:type="dxa"/>
          </w:tcPr>
          <w:p w14:paraId="57208AF7" w14:textId="77777777" w:rsidR="00297249" w:rsidRDefault="00297249" w:rsidP="00FD1C78">
            <w:pPr>
              <w:rPr>
                <w:rFonts w:ascii="Arial" w:hAnsi="Arial" w:cs="Arial"/>
              </w:rPr>
            </w:pPr>
          </w:p>
        </w:tc>
        <w:tc>
          <w:tcPr>
            <w:tcW w:w="3693" w:type="dxa"/>
            <w:gridSpan w:val="3"/>
          </w:tcPr>
          <w:p w14:paraId="16801A19" w14:textId="77777777" w:rsidR="00297249" w:rsidRDefault="00297249" w:rsidP="00FD1C78">
            <w:pPr>
              <w:rPr>
                <w:rFonts w:ascii="Arial" w:hAnsi="Arial" w:cs="Arial"/>
              </w:rPr>
            </w:pPr>
          </w:p>
        </w:tc>
      </w:tr>
      <w:tr w:rsidR="00FD1C78" w14:paraId="12650470"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7D03AEB8" w14:textId="77777777" w:rsidR="00FD1C78" w:rsidRDefault="00FD1C78" w:rsidP="00713F3B">
            <w:pPr>
              <w:numPr>
                <w:ilvl w:val="0"/>
                <w:numId w:val="4"/>
              </w:numPr>
            </w:pPr>
            <w:r>
              <w:lastRenderedPageBreak/>
              <w:t xml:space="preserve">If a computer is used to generate slot documentation, examine the system exception report </w:t>
            </w:r>
            <w:r w:rsidRPr="00EC6910">
              <w:t>for all computerized</w:t>
            </w:r>
            <w:r>
              <w:t xml:space="preserve"> slot</w:t>
            </w:r>
            <w:r w:rsidRPr="00EC6910">
              <w:t xml:space="preserve"> systems (includes, but is not limited to, cashless wagering system, jackpot/fill system, system supported gaming and </w:t>
            </w:r>
            <w:proofErr w:type="gramStart"/>
            <w:r w:rsidRPr="00EC6910">
              <w:t>system based</w:t>
            </w:r>
            <w:proofErr w:type="gramEnd"/>
            <w:r w:rsidRPr="00EC6910">
              <w:t xml:space="preserve"> gaming) </w:t>
            </w:r>
            <w:r>
              <w:t xml:space="preserve">for propriety of </w:t>
            </w:r>
            <w:r w:rsidRPr="00EC6910">
              <w:t>transactions and unusual occurrences</w:t>
            </w:r>
            <w:r>
              <w:t xml:space="preserve">.  </w:t>
            </w:r>
            <w:r>
              <w:rPr>
                <w:b/>
                <w:bCs/>
              </w:rPr>
              <w:t>(Asset Protection)</w:t>
            </w:r>
          </w:p>
          <w:p w14:paraId="1152C83A" w14:textId="77777777" w:rsidR="00FD1C78" w:rsidRPr="00176C58" w:rsidRDefault="00FD1C78" w:rsidP="00FD1C78">
            <w:pPr>
              <w:rPr>
                <w:sz w:val="16"/>
                <w:szCs w:val="12"/>
              </w:rPr>
            </w:pPr>
          </w:p>
          <w:p w14:paraId="2FD80475" w14:textId="77777777" w:rsidR="00FD1C78" w:rsidRDefault="00FD1C78" w:rsidP="00FD1C78">
            <w:pPr>
              <w:ind w:left="353"/>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tc>
        <w:tc>
          <w:tcPr>
            <w:tcW w:w="1050" w:type="dxa"/>
          </w:tcPr>
          <w:p w14:paraId="0D2FB680" w14:textId="77777777" w:rsidR="00FD1C78" w:rsidRDefault="00FD1C78" w:rsidP="00FD1C78">
            <w:pPr>
              <w:rPr>
                <w:rFonts w:ascii="Arial" w:hAnsi="Arial" w:cs="Arial"/>
              </w:rPr>
            </w:pPr>
          </w:p>
        </w:tc>
        <w:tc>
          <w:tcPr>
            <w:tcW w:w="3693" w:type="dxa"/>
            <w:gridSpan w:val="3"/>
          </w:tcPr>
          <w:p w14:paraId="7A79169A" w14:textId="77777777" w:rsidR="00FD1C78" w:rsidRDefault="00FD1C78" w:rsidP="00FD1C78">
            <w:pPr>
              <w:rPr>
                <w:rFonts w:ascii="Arial" w:hAnsi="Arial" w:cs="Arial"/>
              </w:rPr>
            </w:pPr>
          </w:p>
        </w:tc>
      </w:tr>
      <w:tr w:rsidR="00FD1C78" w14:paraId="79EB7531" w14:textId="77777777" w:rsidTr="00DD4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1466"/>
        </w:trPr>
        <w:tc>
          <w:tcPr>
            <w:tcW w:w="5895" w:type="dxa"/>
            <w:gridSpan w:val="4"/>
            <w:tcMar>
              <w:left w:w="115" w:type="dxa"/>
              <w:bottom w:w="144" w:type="dxa"/>
              <w:right w:w="115" w:type="dxa"/>
            </w:tcMar>
          </w:tcPr>
          <w:p w14:paraId="48680525" w14:textId="77777777" w:rsidR="00FD1C78" w:rsidRDefault="00FD1C78" w:rsidP="0026719C">
            <w:pPr>
              <w:pStyle w:val="List"/>
              <w:numPr>
                <w:ilvl w:val="0"/>
                <w:numId w:val="4"/>
              </w:numPr>
              <w:rPr>
                <w:szCs w:val="24"/>
              </w:rPr>
            </w:pPr>
            <w:r>
              <w:rPr>
                <w:szCs w:val="24"/>
              </w:rPr>
              <w:t>Perform an inventory of all slot machine coin drop and reserve base cabinet keys, reset keys, 2341 keys, attendant keys, and any similar slot key or device, currency acceptor drop box release, storage rack and contents keys; and currency acceptor count room keys.  Compare to records of keys made, issued and destroyed.  Make sure all keys are accounted for and there are no extra keys.</w:t>
            </w:r>
          </w:p>
        </w:tc>
        <w:tc>
          <w:tcPr>
            <w:tcW w:w="1050" w:type="dxa"/>
            <w:tcBorders>
              <w:bottom w:val="single" w:sz="4" w:space="0" w:color="auto"/>
            </w:tcBorders>
          </w:tcPr>
          <w:p w14:paraId="599A28B8" w14:textId="77777777" w:rsidR="00FD1C78" w:rsidRDefault="00FD1C78" w:rsidP="00FD1C78">
            <w:pPr>
              <w:rPr>
                <w:rFonts w:ascii="Arial" w:hAnsi="Arial" w:cs="Arial"/>
              </w:rPr>
            </w:pPr>
          </w:p>
        </w:tc>
        <w:tc>
          <w:tcPr>
            <w:tcW w:w="3693" w:type="dxa"/>
            <w:gridSpan w:val="3"/>
            <w:tcBorders>
              <w:bottom w:val="single" w:sz="4" w:space="0" w:color="auto"/>
            </w:tcBorders>
          </w:tcPr>
          <w:p w14:paraId="0A18F13D" w14:textId="77777777" w:rsidR="00FD1C78" w:rsidRDefault="00FD1C78" w:rsidP="00FD1C78">
            <w:pPr>
              <w:rPr>
                <w:rFonts w:ascii="Arial" w:hAnsi="Arial" w:cs="Arial"/>
              </w:rPr>
            </w:pPr>
          </w:p>
        </w:tc>
      </w:tr>
      <w:tr w:rsidR="00FD1C78" w14:paraId="33FF633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Height w:val="647"/>
        </w:trPr>
        <w:tc>
          <w:tcPr>
            <w:tcW w:w="5895" w:type="dxa"/>
            <w:gridSpan w:val="4"/>
            <w:tcMar>
              <w:left w:w="115" w:type="dxa"/>
              <w:bottom w:w="0" w:type="dxa"/>
              <w:right w:w="115" w:type="dxa"/>
            </w:tcMar>
          </w:tcPr>
          <w:p w14:paraId="58FBD64E" w14:textId="77777777" w:rsidR="00FD1C78" w:rsidRDefault="00FD1C78" w:rsidP="0026719C">
            <w:pPr>
              <w:pStyle w:val="List"/>
              <w:numPr>
                <w:ilvl w:val="0"/>
                <w:numId w:val="4"/>
              </w:numPr>
              <w:rPr>
                <w:szCs w:val="24"/>
              </w:rPr>
            </w:pPr>
            <w:r>
              <w:t xml:space="preserve">For </w:t>
            </w:r>
            <w:r w:rsidRPr="00EC6910">
              <w:t xml:space="preserve">each computerized </w:t>
            </w:r>
            <w:proofErr w:type="gramStart"/>
            <w:r w:rsidRPr="00EC6910">
              <w:t>slots</w:t>
            </w:r>
            <w:proofErr w:type="gramEnd"/>
            <w:r w:rsidRPr="00EC6910">
              <w:t xml:space="preserve"> system, at the application level, obtain the user accessing listing:</w:t>
            </w:r>
          </w:p>
        </w:tc>
        <w:tc>
          <w:tcPr>
            <w:tcW w:w="1050" w:type="dxa"/>
            <w:shd w:val="clear" w:color="auto" w:fill="D9D9D9"/>
            <w:noWrap/>
            <w:tcFitText/>
            <w:vAlign w:val="bottom"/>
          </w:tcPr>
          <w:p w14:paraId="505951C4" w14:textId="77777777" w:rsidR="00FD1C78" w:rsidRPr="002F4647" w:rsidRDefault="00FD1C78" w:rsidP="00FD1C78"/>
        </w:tc>
        <w:tc>
          <w:tcPr>
            <w:tcW w:w="3693" w:type="dxa"/>
            <w:gridSpan w:val="3"/>
            <w:shd w:val="clear" w:color="auto" w:fill="D9D9D9"/>
            <w:noWrap/>
            <w:tcFitText/>
            <w:vAlign w:val="bottom"/>
          </w:tcPr>
          <w:p w14:paraId="0DA2A778" w14:textId="77777777" w:rsidR="00FD1C78" w:rsidRPr="002F4647" w:rsidRDefault="00FD1C78" w:rsidP="00FD1C78"/>
        </w:tc>
      </w:tr>
      <w:tr w:rsidR="00FD1C78" w14:paraId="74F0B868"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78DE66E" w14:textId="77777777" w:rsidR="00FD1C78" w:rsidRDefault="00FD1C78" w:rsidP="0026719C">
            <w:pPr>
              <w:pStyle w:val="List"/>
              <w:numPr>
                <w:ilvl w:val="1"/>
                <w:numId w:val="4"/>
              </w:numPr>
              <w:ind w:left="713" w:hanging="360"/>
              <w:rPr>
                <w:szCs w:val="24"/>
              </w:rPr>
            </w:pPr>
            <w:r>
              <w:t xml:space="preserve">For computerized systems that have group </w:t>
            </w:r>
            <w:r w:rsidRPr="00EC6910">
              <w:t>membership (group profile),</w:t>
            </w:r>
            <w:r>
              <w:t xml:space="preserve"> select five group profiles and determine whether the job functions (rights) assigned to the group profile are appropriate for the group.  In addition, select one employee from each of the groups and determine whether the group profile is appropriate for the employee.</w:t>
            </w:r>
          </w:p>
        </w:tc>
        <w:tc>
          <w:tcPr>
            <w:tcW w:w="1050" w:type="dxa"/>
          </w:tcPr>
          <w:p w14:paraId="49CE05AB" w14:textId="77777777" w:rsidR="00FD1C78" w:rsidRDefault="00FD1C78" w:rsidP="00FD1C78">
            <w:pPr>
              <w:rPr>
                <w:rFonts w:ascii="Arial" w:hAnsi="Arial" w:cs="Arial"/>
              </w:rPr>
            </w:pPr>
          </w:p>
        </w:tc>
        <w:tc>
          <w:tcPr>
            <w:tcW w:w="3693" w:type="dxa"/>
            <w:gridSpan w:val="3"/>
          </w:tcPr>
          <w:p w14:paraId="7FBC46B0" w14:textId="77777777" w:rsidR="00FD1C78" w:rsidRDefault="00FD1C78" w:rsidP="00FD1C78">
            <w:pPr>
              <w:rPr>
                <w:rFonts w:ascii="Arial" w:hAnsi="Arial" w:cs="Arial"/>
              </w:rPr>
            </w:pPr>
          </w:p>
        </w:tc>
      </w:tr>
      <w:tr w:rsidR="00FD1C78" w14:paraId="21BBD72D"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51DF7254" w14:textId="77777777" w:rsidR="00FD1C78" w:rsidRDefault="00FD1C78" w:rsidP="0026719C">
            <w:pPr>
              <w:pStyle w:val="List"/>
              <w:numPr>
                <w:ilvl w:val="1"/>
                <w:numId w:val="4"/>
              </w:numPr>
              <w:ind w:left="713" w:hanging="360"/>
              <w:rPr>
                <w:szCs w:val="24"/>
              </w:rPr>
            </w:pPr>
            <w:r>
              <w:rPr>
                <w:szCs w:val="24"/>
              </w:rP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tc>
        <w:tc>
          <w:tcPr>
            <w:tcW w:w="1050" w:type="dxa"/>
          </w:tcPr>
          <w:p w14:paraId="0431E6CC" w14:textId="77777777" w:rsidR="00FD1C78" w:rsidRDefault="00FD1C78" w:rsidP="00FD1C78">
            <w:pPr>
              <w:rPr>
                <w:rFonts w:ascii="Arial" w:hAnsi="Arial" w:cs="Arial"/>
              </w:rPr>
            </w:pPr>
          </w:p>
        </w:tc>
        <w:tc>
          <w:tcPr>
            <w:tcW w:w="3693" w:type="dxa"/>
            <w:gridSpan w:val="3"/>
          </w:tcPr>
          <w:p w14:paraId="096FD144" w14:textId="77777777" w:rsidR="00FD1C78" w:rsidRDefault="00FD1C78" w:rsidP="00FD1C78">
            <w:pPr>
              <w:rPr>
                <w:rFonts w:ascii="Arial" w:hAnsi="Arial" w:cs="Arial"/>
              </w:rPr>
            </w:pPr>
          </w:p>
        </w:tc>
      </w:tr>
      <w:tr w:rsidR="00FD1C78" w14:paraId="5AD6E4C5"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E3A990A" w14:textId="54FEE328" w:rsidR="00FD1C78" w:rsidRDefault="00FD1C78" w:rsidP="0026719C">
            <w:pPr>
              <w:pStyle w:val="List"/>
              <w:numPr>
                <w:ilvl w:val="1"/>
                <w:numId w:val="4"/>
              </w:numPr>
              <w:ind w:left="713" w:hanging="360"/>
              <w:rPr>
                <w:szCs w:val="24"/>
              </w:rPr>
            </w:pPr>
            <w:r>
              <w:rPr>
                <w:szCs w:val="24"/>
              </w:rPr>
              <w:t>Verify that 5 terminated employees, which occurred during the review period, have been changed in the system from active to inactive status</w:t>
            </w:r>
            <w:r w:rsidR="00890C94">
              <w:rPr>
                <w:szCs w:val="24"/>
              </w:rPr>
              <w:t xml:space="preserve"> </w:t>
            </w:r>
            <w:r w:rsidR="00890C94">
              <w:t>within the appropriate time frame based on the user’s access (remote access, system administrator/IT personnel, etc.)</w:t>
            </w:r>
            <w:r>
              <w:rPr>
                <w:szCs w:val="24"/>
              </w:rPr>
              <w:t xml:space="preserve">. </w:t>
            </w:r>
          </w:p>
        </w:tc>
        <w:tc>
          <w:tcPr>
            <w:tcW w:w="1050" w:type="dxa"/>
          </w:tcPr>
          <w:p w14:paraId="690DD73E" w14:textId="77777777" w:rsidR="00FD1C78" w:rsidRDefault="00FD1C78" w:rsidP="00FD1C78">
            <w:pPr>
              <w:rPr>
                <w:rFonts w:ascii="Arial" w:hAnsi="Arial" w:cs="Arial"/>
              </w:rPr>
            </w:pPr>
          </w:p>
        </w:tc>
        <w:tc>
          <w:tcPr>
            <w:tcW w:w="3693" w:type="dxa"/>
            <w:gridSpan w:val="3"/>
          </w:tcPr>
          <w:p w14:paraId="530751B8" w14:textId="77777777" w:rsidR="00FD1C78" w:rsidRDefault="00FD1C78" w:rsidP="00FD1C78">
            <w:pPr>
              <w:rPr>
                <w:rFonts w:ascii="Arial" w:hAnsi="Arial" w:cs="Arial"/>
              </w:rPr>
            </w:pPr>
          </w:p>
        </w:tc>
      </w:tr>
      <w:tr w:rsidR="00FD1C78" w14:paraId="05ADFDA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01134D1C" w14:textId="77777777" w:rsidR="00FD1C78" w:rsidRPr="00EC6910" w:rsidRDefault="00FD1C78" w:rsidP="0026719C">
            <w:pPr>
              <w:pStyle w:val="List"/>
              <w:numPr>
                <w:ilvl w:val="1"/>
                <w:numId w:val="4"/>
              </w:numPr>
              <w:ind w:left="713" w:hanging="360"/>
              <w:rPr>
                <w:szCs w:val="24"/>
              </w:rPr>
            </w:pPr>
            <w:r w:rsidRPr="00EC6910">
              <w:t>Verify that 5 active employees have changed their passwords within the last 90 days.</w:t>
            </w:r>
          </w:p>
        </w:tc>
        <w:tc>
          <w:tcPr>
            <w:tcW w:w="1050" w:type="dxa"/>
          </w:tcPr>
          <w:p w14:paraId="5C81E218" w14:textId="77777777" w:rsidR="00FD1C78" w:rsidRDefault="00FD1C78" w:rsidP="00FD1C78">
            <w:pPr>
              <w:rPr>
                <w:rFonts w:ascii="Arial" w:hAnsi="Arial" w:cs="Arial"/>
              </w:rPr>
            </w:pPr>
          </w:p>
        </w:tc>
        <w:tc>
          <w:tcPr>
            <w:tcW w:w="3693" w:type="dxa"/>
            <w:gridSpan w:val="3"/>
          </w:tcPr>
          <w:p w14:paraId="7DCB9206" w14:textId="77777777" w:rsidR="00FD1C78" w:rsidRDefault="00FD1C78" w:rsidP="00FD1C78">
            <w:pPr>
              <w:rPr>
                <w:rFonts w:ascii="Arial" w:hAnsi="Arial" w:cs="Arial"/>
              </w:rPr>
            </w:pPr>
          </w:p>
        </w:tc>
      </w:tr>
      <w:tr w:rsidR="00FD1C78" w14:paraId="4187A4C2"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7EE87A61" w14:textId="77777777" w:rsidR="00FD1C78" w:rsidRDefault="00FD1C78" w:rsidP="0026719C">
            <w:pPr>
              <w:pStyle w:val="List"/>
              <w:numPr>
                <w:ilvl w:val="0"/>
                <w:numId w:val="4"/>
              </w:numPr>
              <w:rPr>
                <w:szCs w:val="24"/>
              </w:rPr>
            </w:pPr>
            <w:r>
              <w:rPr>
                <w:szCs w:val="24"/>
              </w:rPr>
              <w:t>For manually-read coin-in meters, select a sample of 15 machines from the meter reading sheets, calculate the coin-in and trace to the slot analysis reports.</w:t>
            </w:r>
          </w:p>
        </w:tc>
        <w:tc>
          <w:tcPr>
            <w:tcW w:w="1050" w:type="dxa"/>
          </w:tcPr>
          <w:p w14:paraId="37ABDA78" w14:textId="77777777" w:rsidR="00FD1C78" w:rsidRDefault="00FD1C78" w:rsidP="00FD1C78">
            <w:pPr>
              <w:rPr>
                <w:rFonts w:ascii="Arial" w:hAnsi="Arial" w:cs="Arial"/>
              </w:rPr>
            </w:pPr>
          </w:p>
        </w:tc>
        <w:tc>
          <w:tcPr>
            <w:tcW w:w="3693" w:type="dxa"/>
            <w:gridSpan w:val="3"/>
          </w:tcPr>
          <w:p w14:paraId="56E8F18D" w14:textId="77777777" w:rsidR="00FD1C78" w:rsidRDefault="00FD1C78" w:rsidP="00FD1C78">
            <w:pPr>
              <w:rPr>
                <w:rFonts w:ascii="Arial" w:hAnsi="Arial" w:cs="Arial"/>
              </w:rPr>
            </w:pPr>
          </w:p>
        </w:tc>
      </w:tr>
      <w:tr w:rsidR="00FD1C78" w14:paraId="1C5B0A1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0BC88DF5" w14:textId="77777777" w:rsidR="00FD1C78" w:rsidRDefault="00FD1C78" w:rsidP="0026719C">
            <w:pPr>
              <w:pStyle w:val="List"/>
              <w:numPr>
                <w:ilvl w:val="1"/>
                <w:numId w:val="4"/>
              </w:numPr>
              <w:ind w:left="713" w:hanging="360"/>
              <w:rPr>
                <w:szCs w:val="24"/>
              </w:rPr>
            </w:pPr>
            <w:r>
              <w:rPr>
                <w:szCs w:val="24"/>
              </w:rPr>
              <w:lastRenderedPageBreak/>
              <w:t>Where meter readings are taken daily and the slot analysis reports reflect week-to-date coin-in, foot in-meter readings for seven days and compare totals to week-to-date information for two nonconsecutive weeks.</w:t>
            </w:r>
          </w:p>
        </w:tc>
        <w:tc>
          <w:tcPr>
            <w:tcW w:w="1050" w:type="dxa"/>
          </w:tcPr>
          <w:p w14:paraId="27FA9D90" w14:textId="77777777" w:rsidR="00FD1C78" w:rsidRDefault="00FD1C78" w:rsidP="00FD1C78">
            <w:pPr>
              <w:rPr>
                <w:rFonts w:ascii="Arial" w:hAnsi="Arial" w:cs="Arial"/>
              </w:rPr>
            </w:pPr>
          </w:p>
        </w:tc>
        <w:tc>
          <w:tcPr>
            <w:tcW w:w="3693" w:type="dxa"/>
            <w:gridSpan w:val="3"/>
          </w:tcPr>
          <w:p w14:paraId="547B6192" w14:textId="77777777" w:rsidR="00FD1C78" w:rsidRDefault="00FD1C78" w:rsidP="00FD1C78">
            <w:pPr>
              <w:rPr>
                <w:rFonts w:ascii="Arial" w:hAnsi="Arial" w:cs="Arial"/>
              </w:rPr>
            </w:pPr>
          </w:p>
        </w:tc>
      </w:tr>
      <w:tr w:rsidR="00FD1C78" w14:paraId="2FA0A30E"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B9EC4FB" w14:textId="77777777" w:rsidR="00FD1C78" w:rsidRDefault="00FD1C78" w:rsidP="0026719C">
            <w:pPr>
              <w:pStyle w:val="List"/>
              <w:numPr>
                <w:ilvl w:val="1"/>
                <w:numId w:val="4"/>
              </w:numPr>
              <w:ind w:left="713" w:hanging="360"/>
              <w:rPr>
                <w:szCs w:val="24"/>
              </w:rPr>
            </w:pPr>
            <w:r>
              <w:rPr>
                <w:szCs w:val="24"/>
              </w:rPr>
              <w:t>Where meter readings are taken weekly and the slot analysis reports reflect month-to-date coin-in, foot the weekly sheets and compare totals to month-to-date information for one month.</w:t>
            </w:r>
          </w:p>
        </w:tc>
        <w:tc>
          <w:tcPr>
            <w:tcW w:w="1050" w:type="dxa"/>
          </w:tcPr>
          <w:p w14:paraId="44F7CCF7" w14:textId="77777777" w:rsidR="00FD1C78" w:rsidRDefault="00FD1C78" w:rsidP="00FD1C78">
            <w:pPr>
              <w:rPr>
                <w:rFonts w:ascii="Arial" w:hAnsi="Arial" w:cs="Arial"/>
              </w:rPr>
            </w:pPr>
          </w:p>
        </w:tc>
        <w:tc>
          <w:tcPr>
            <w:tcW w:w="3693" w:type="dxa"/>
            <w:gridSpan w:val="3"/>
          </w:tcPr>
          <w:p w14:paraId="717EFC44" w14:textId="77777777" w:rsidR="00FD1C78" w:rsidRDefault="00FD1C78" w:rsidP="00FD1C78">
            <w:pPr>
              <w:rPr>
                <w:rFonts w:ascii="Arial" w:hAnsi="Arial" w:cs="Arial"/>
              </w:rPr>
            </w:pPr>
          </w:p>
        </w:tc>
      </w:tr>
      <w:tr w:rsidR="00FD1C78" w14:paraId="225F8B6E"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409C2EB8" w14:textId="77777777" w:rsidR="00FD1C78" w:rsidRDefault="00FD1C78" w:rsidP="0026719C">
            <w:pPr>
              <w:pStyle w:val="List"/>
              <w:numPr>
                <w:ilvl w:val="0"/>
                <w:numId w:val="4"/>
              </w:numPr>
              <w:rPr>
                <w:szCs w:val="24"/>
              </w:rPr>
            </w:pPr>
            <w:r>
              <w:rPr>
                <w:szCs w:val="24"/>
              </w:rPr>
              <w:t>For computerized slot analysis systems with automated (on-line) slot meter readings, foot the reports and roll forward the weekly or monthly coin-in totals in the reports for one machine and trace to month-to-date, quarter-to-date, year-to-date and (if applicable) inception-to-date totals to verify the computer’s accuracy.</w:t>
            </w:r>
          </w:p>
          <w:p w14:paraId="42B9327E" w14:textId="77777777" w:rsidR="00FD1C78" w:rsidRPr="00176C58" w:rsidRDefault="00FD1C78" w:rsidP="00FD1C78">
            <w:pPr>
              <w:pStyle w:val="List"/>
              <w:rPr>
                <w:sz w:val="16"/>
                <w:szCs w:val="12"/>
              </w:rPr>
            </w:pPr>
          </w:p>
          <w:p w14:paraId="55D2E9F5" w14:textId="77777777" w:rsidR="00FD1C78" w:rsidRDefault="00FD1C78" w:rsidP="00FD1C78">
            <w:pPr>
              <w:pStyle w:val="List"/>
              <w:ind w:hanging="7"/>
              <w:rPr>
                <w:szCs w:val="24"/>
              </w:rPr>
            </w:pPr>
            <w:r>
              <w:rPr>
                <w:b/>
                <w:bCs/>
              </w:rPr>
              <w:t xml:space="preserve">Note:  </w:t>
            </w:r>
            <w:r>
              <w:t>Footing only needs to be done for one of the two test dates selected for the fiscal year.</w:t>
            </w:r>
          </w:p>
        </w:tc>
        <w:tc>
          <w:tcPr>
            <w:tcW w:w="1050" w:type="dxa"/>
            <w:tcBorders>
              <w:bottom w:val="single" w:sz="4" w:space="0" w:color="auto"/>
            </w:tcBorders>
          </w:tcPr>
          <w:p w14:paraId="17664235" w14:textId="77777777" w:rsidR="00FD1C78" w:rsidRDefault="00FD1C78" w:rsidP="00FD1C78">
            <w:pPr>
              <w:rPr>
                <w:rFonts w:ascii="Arial" w:hAnsi="Arial" w:cs="Arial"/>
              </w:rPr>
            </w:pPr>
          </w:p>
        </w:tc>
        <w:tc>
          <w:tcPr>
            <w:tcW w:w="3693" w:type="dxa"/>
            <w:gridSpan w:val="3"/>
            <w:tcBorders>
              <w:bottom w:val="single" w:sz="4" w:space="0" w:color="auto"/>
            </w:tcBorders>
          </w:tcPr>
          <w:p w14:paraId="4906BBCD" w14:textId="77777777" w:rsidR="00FD1C78" w:rsidRDefault="00FD1C78" w:rsidP="00FD1C78">
            <w:pPr>
              <w:rPr>
                <w:rFonts w:ascii="Arial" w:hAnsi="Arial" w:cs="Arial"/>
              </w:rPr>
            </w:pPr>
          </w:p>
        </w:tc>
      </w:tr>
      <w:tr w:rsidR="00FD1C78" w14:paraId="31F48976"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0" w:type="dxa"/>
              <w:right w:w="115" w:type="dxa"/>
            </w:tcMar>
          </w:tcPr>
          <w:p w14:paraId="4674BA46" w14:textId="77777777" w:rsidR="00FD1C78" w:rsidRDefault="00FD1C78" w:rsidP="0026719C">
            <w:pPr>
              <w:pStyle w:val="List"/>
              <w:numPr>
                <w:ilvl w:val="0"/>
                <w:numId w:val="4"/>
              </w:numPr>
              <w:rPr>
                <w:szCs w:val="24"/>
              </w:rPr>
            </w:pPr>
            <w:r>
              <w:rPr>
                <w:szCs w:val="24"/>
              </w:rPr>
              <w:t>Using a listing of slot machines by type, select five machines.  The sample selected should represent five of the most common types currently on the floor.</w:t>
            </w:r>
          </w:p>
          <w:p w14:paraId="071AFBEE" w14:textId="77777777" w:rsidR="00FD1C78" w:rsidRPr="00F26A92" w:rsidRDefault="00FD1C78" w:rsidP="00FD1C78">
            <w:pPr>
              <w:pStyle w:val="List"/>
              <w:ind w:left="0" w:firstLine="0"/>
              <w:rPr>
                <w:sz w:val="12"/>
                <w:szCs w:val="12"/>
              </w:rPr>
            </w:pPr>
          </w:p>
          <w:p w14:paraId="313F8D8A" w14:textId="77777777" w:rsidR="00FD1C78" w:rsidRDefault="00FD1C78" w:rsidP="00FD1C78">
            <w:pPr>
              <w:pStyle w:val="List"/>
              <w:ind w:left="353" w:firstLine="0"/>
              <w:rPr>
                <w:szCs w:val="24"/>
              </w:rPr>
            </w:pPr>
            <w:r>
              <w:rPr>
                <w:szCs w:val="24"/>
              </w:rPr>
              <w:t>For each machine selected:</w:t>
            </w:r>
          </w:p>
          <w:p w14:paraId="6E25A3D2" w14:textId="77777777" w:rsidR="00FD1C78" w:rsidRPr="00176C58" w:rsidRDefault="00FD1C78" w:rsidP="00FD1C78">
            <w:pPr>
              <w:pStyle w:val="List"/>
              <w:ind w:left="353" w:firstLine="0"/>
              <w:rPr>
                <w:sz w:val="8"/>
                <w:szCs w:val="24"/>
              </w:rPr>
            </w:pPr>
          </w:p>
        </w:tc>
        <w:tc>
          <w:tcPr>
            <w:tcW w:w="1050" w:type="dxa"/>
            <w:shd w:val="clear" w:color="auto" w:fill="D9D9D9"/>
          </w:tcPr>
          <w:p w14:paraId="350AB470" w14:textId="77777777" w:rsidR="00FD1C78" w:rsidRDefault="00FD1C78" w:rsidP="00FD1C78">
            <w:pPr>
              <w:rPr>
                <w:rFonts w:ascii="Arial" w:hAnsi="Arial" w:cs="Arial"/>
              </w:rPr>
            </w:pPr>
          </w:p>
        </w:tc>
        <w:tc>
          <w:tcPr>
            <w:tcW w:w="3693" w:type="dxa"/>
            <w:gridSpan w:val="3"/>
            <w:shd w:val="clear" w:color="auto" w:fill="D9D9D9"/>
          </w:tcPr>
          <w:p w14:paraId="76B8FDFB" w14:textId="77777777" w:rsidR="00FD1C78" w:rsidRDefault="00FD1C78" w:rsidP="00FD1C78">
            <w:pPr>
              <w:rPr>
                <w:rFonts w:ascii="Arial" w:hAnsi="Arial" w:cs="Arial"/>
              </w:rPr>
            </w:pPr>
          </w:p>
        </w:tc>
      </w:tr>
      <w:tr w:rsidR="00FD1C78" w14:paraId="20AA58BA"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0D4A3056" w14:textId="77777777" w:rsidR="00FD1C78" w:rsidRDefault="00FD1C78" w:rsidP="0026719C">
            <w:pPr>
              <w:pStyle w:val="List"/>
              <w:numPr>
                <w:ilvl w:val="1"/>
                <w:numId w:val="4"/>
              </w:numPr>
              <w:tabs>
                <w:tab w:val="clear" w:pos="360"/>
                <w:tab w:val="num" w:pos="713"/>
              </w:tabs>
              <w:ind w:left="713" w:hanging="360"/>
              <w:rPr>
                <w:szCs w:val="24"/>
              </w:rPr>
            </w:pPr>
            <w:r>
              <w:rPr>
                <w:szCs w:val="24"/>
              </w:rPr>
              <w:t>Obtain the theoretical hold worksheet (par sheet), test the actual reel strip settings and trace the payout schedule from the machine to the worksheet.  Review the worksheets for propriety of theoretical hold.</w:t>
            </w:r>
          </w:p>
        </w:tc>
        <w:tc>
          <w:tcPr>
            <w:tcW w:w="1050" w:type="dxa"/>
          </w:tcPr>
          <w:p w14:paraId="722D1D1E" w14:textId="77777777" w:rsidR="00FD1C78" w:rsidRDefault="00FD1C78" w:rsidP="00FD1C78">
            <w:pPr>
              <w:rPr>
                <w:rFonts w:ascii="Arial" w:hAnsi="Arial" w:cs="Arial"/>
              </w:rPr>
            </w:pPr>
          </w:p>
        </w:tc>
        <w:tc>
          <w:tcPr>
            <w:tcW w:w="3693" w:type="dxa"/>
            <w:gridSpan w:val="3"/>
          </w:tcPr>
          <w:p w14:paraId="47C30BD9" w14:textId="77777777" w:rsidR="00FD1C78" w:rsidRDefault="00FD1C78" w:rsidP="00FD1C78">
            <w:pPr>
              <w:rPr>
                <w:rFonts w:ascii="Arial" w:hAnsi="Arial" w:cs="Arial"/>
              </w:rPr>
            </w:pPr>
          </w:p>
        </w:tc>
      </w:tr>
      <w:tr w:rsidR="00FD1C78" w14:paraId="4D2375C4"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421AA9B1" w14:textId="77777777" w:rsidR="00FD1C78" w:rsidRDefault="00FD1C78" w:rsidP="0026719C">
            <w:pPr>
              <w:pStyle w:val="List"/>
              <w:numPr>
                <w:ilvl w:val="1"/>
                <w:numId w:val="4"/>
              </w:numPr>
              <w:tabs>
                <w:tab w:val="clear" w:pos="360"/>
                <w:tab w:val="num" w:pos="713"/>
              </w:tabs>
              <w:ind w:left="713" w:hanging="360"/>
              <w:rPr>
                <w:szCs w:val="24"/>
              </w:rPr>
            </w:pPr>
            <w:r>
              <w:rPr>
                <w:szCs w:val="24"/>
              </w:rPr>
              <w:t>For slot machines connected to a progressive payout meter, confirm that the progressive increment rate set for the meter is the same as that on worksheet.</w:t>
            </w:r>
          </w:p>
        </w:tc>
        <w:tc>
          <w:tcPr>
            <w:tcW w:w="1050" w:type="dxa"/>
          </w:tcPr>
          <w:p w14:paraId="13ECC824" w14:textId="77777777" w:rsidR="00FD1C78" w:rsidRDefault="00FD1C78" w:rsidP="00FD1C78">
            <w:pPr>
              <w:rPr>
                <w:rFonts w:ascii="Arial" w:hAnsi="Arial" w:cs="Arial"/>
              </w:rPr>
            </w:pPr>
          </w:p>
        </w:tc>
        <w:tc>
          <w:tcPr>
            <w:tcW w:w="3693" w:type="dxa"/>
            <w:gridSpan w:val="3"/>
          </w:tcPr>
          <w:p w14:paraId="7DC6C293" w14:textId="77777777" w:rsidR="00FD1C78" w:rsidRDefault="00FD1C78" w:rsidP="00FD1C78">
            <w:pPr>
              <w:rPr>
                <w:rFonts w:ascii="Arial" w:hAnsi="Arial" w:cs="Arial"/>
              </w:rPr>
            </w:pPr>
          </w:p>
        </w:tc>
      </w:tr>
      <w:tr w:rsidR="00FD1C78" w14:paraId="38B74AE3"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469BD7D" w14:textId="77777777" w:rsidR="00FD1C78" w:rsidRDefault="00FD1C78" w:rsidP="0026719C">
            <w:pPr>
              <w:pStyle w:val="List"/>
              <w:numPr>
                <w:ilvl w:val="1"/>
                <w:numId w:val="4"/>
              </w:numPr>
              <w:tabs>
                <w:tab w:val="clear" w:pos="360"/>
                <w:tab w:val="num" w:pos="713"/>
              </w:tabs>
              <w:ind w:left="713" w:hanging="360"/>
              <w:rPr>
                <w:szCs w:val="24"/>
              </w:rPr>
            </w:pPr>
            <w:r>
              <w:rPr>
                <w:szCs w:val="24"/>
              </w:rPr>
              <w:t>Trace theoretical hold percentages from the worksheets to the slot analysis reports.</w:t>
            </w:r>
          </w:p>
          <w:p w14:paraId="479743B8" w14:textId="77777777" w:rsidR="00FD1C78" w:rsidRPr="00A71BAD" w:rsidRDefault="00FD1C78" w:rsidP="00FD1C78">
            <w:pPr>
              <w:pStyle w:val="List"/>
              <w:ind w:left="353" w:firstLine="0"/>
              <w:rPr>
                <w:b/>
                <w:szCs w:val="12"/>
                <w:u w:val="single"/>
              </w:rPr>
            </w:pPr>
          </w:p>
          <w:p w14:paraId="110DC57C" w14:textId="77777777" w:rsidR="00FD1C78" w:rsidRPr="00246257" w:rsidRDefault="00FD1C78" w:rsidP="00FD1C78">
            <w:pPr>
              <w:pStyle w:val="List"/>
              <w:ind w:left="720" w:firstLine="0"/>
              <w:rPr>
                <w:szCs w:val="24"/>
              </w:rPr>
            </w:pPr>
            <w:r w:rsidRPr="00246257">
              <w:rPr>
                <w:b/>
                <w:szCs w:val="24"/>
              </w:rPr>
              <w:t>Note:</w:t>
            </w:r>
            <w:r w:rsidRPr="00246257">
              <w:rPr>
                <w:szCs w:val="24"/>
              </w:rPr>
              <w:t xml:space="preserve">  For multi-game/multi-denomination slot machines, trace the calculated weighted theoretical hold percentage from the Regulation 14, Technical Standard 3 on-line slot metering system report to the weighted theoretical hold percentage in the slot analysis report.  If a simple average theoretical hold percentage is used, trace the calculated simple average theoretical hold percentage from the Slots MICS #104 report to the slot analysis report.</w:t>
            </w:r>
          </w:p>
        </w:tc>
        <w:tc>
          <w:tcPr>
            <w:tcW w:w="1050" w:type="dxa"/>
          </w:tcPr>
          <w:p w14:paraId="585DDF24" w14:textId="77777777" w:rsidR="00FD1C78" w:rsidRDefault="00FD1C78" w:rsidP="00FD1C78">
            <w:pPr>
              <w:rPr>
                <w:rFonts w:ascii="Arial" w:hAnsi="Arial" w:cs="Arial"/>
              </w:rPr>
            </w:pPr>
          </w:p>
        </w:tc>
        <w:tc>
          <w:tcPr>
            <w:tcW w:w="3693" w:type="dxa"/>
            <w:gridSpan w:val="3"/>
          </w:tcPr>
          <w:p w14:paraId="244651A7" w14:textId="77777777" w:rsidR="00FD1C78" w:rsidRDefault="00FD1C78" w:rsidP="00FD1C78">
            <w:pPr>
              <w:rPr>
                <w:rFonts w:ascii="Arial" w:hAnsi="Arial" w:cs="Arial"/>
              </w:rPr>
            </w:pPr>
          </w:p>
        </w:tc>
      </w:tr>
      <w:tr w:rsidR="00FD1C78" w14:paraId="676C71FD"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AC0AA6C" w14:textId="77777777" w:rsidR="00FD1C78" w:rsidRDefault="00FD1C78" w:rsidP="0026719C">
            <w:pPr>
              <w:pStyle w:val="List"/>
              <w:numPr>
                <w:ilvl w:val="1"/>
                <w:numId w:val="4"/>
              </w:numPr>
              <w:tabs>
                <w:tab w:val="clear" w:pos="360"/>
                <w:tab w:val="num" w:pos="713"/>
              </w:tabs>
              <w:ind w:left="713" w:hanging="360"/>
              <w:rPr>
                <w:szCs w:val="24"/>
              </w:rPr>
            </w:pPr>
            <w:r>
              <w:rPr>
                <w:szCs w:val="24"/>
              </w:rPr>
              <w:t>Verify that the theoretical hold percentages recorded in the slot analysis report are the same within each type.</w:t>
            </w:r>
          </w:p>
        </w:tc>
        <w:tc>
          <w:tcPr>
            <w:tcW w:w="1050" w:type="dxa"/>
          </w:tcPr>
          <w:p w14:paraId="7C56E7C4" w14:textId="77777777" w:rsidR="00FD1C78" w:rsidRDefault="00FD1C78" w:rsidP="00FD1C78">
            <w:pPr>
              <w:rPr>
                <w:rFonts w:ascii="Arial" w:hAnsi="Arial" w:cs="Arial"/>
              </w:rPr>
            </w:pPr>
          </w:p>
        </w:tc>
        <w:tc>
          <w:tcPr>
            <w:tcW w:w="3693" w:type="dxa"/>
            <w:gridSpan w:val="3"/>
          </w:tcPr>
          <w:p w14:paraId="2D06580B" w14:textId="77777777" w:rsidR="00FD1C78" w:rsidRDefault="00FD1C78" w:rsidP="00FD1C78">
            <w:pPr>
              <w:rPr>
                <w:rFonts w:ascii="Arial" w:hAnsi="Arial" w:cs="Arial"/>
              </w:rPr>
            </w:pPr>
          </w:p>
        </w:tc>
      </w:tr>
      <w:tr w:rsidR="00FD1C78" w14:paraId="24D79FA1"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465DE880" w14:textId="4EA78F1A" w:rsidR="00FD1C78" w:rsidRDefault="00FD1C78" w:rsidP="0026719C">
            <w:pPr>
              <w:pStyle w:val="List"/>
              <w:numPr>
                <w:ilvl w:val="1"/>
                <w:numId w:val="4"/>
              </w:numPr>
              <w:tabs>
                <w:tab w:val="clear" w:pos="360"/>
                <w:tab w:val="num" w:pos="713"/>
              </w:tabs>
              <w:ind w:left="713" w:hanging="360"/>
              <w:rPr>
                <w:szCs w:val="24"/>
              </w:rPr>
            </w:pPr>
            <w:r>
              <w:rPr>
                <w:szCs w:val="24"/>
              </w:rPr>
              <w:t xml:space="preserve">Examine the chip and determine if labeled with the </w:t>
            </w:r>
            <w:r w:rsidR="00BD55C0">
              <w:rPr>
                <w:szCs w:val="24"/>
              </w:rPr>
              <w:t>N</w:t>
            </w:r>
            <w:r>
              <w:rPr>
                <w:szCs w:val="24"/>
              </w:rPr>
              <w:t>GCB lab approval number.</w:t>
            </w:r>
          </w:p>
        </w:tc>
        <w:tc>
          <w:tcPr>
            <w:tcW w:w="1050" w:type="dxa"/>
          </w:tcPr>
          <w:p w14:paraId="1BAD5E6E" w14:textId="77777777" w:rsidR="00FD1C78" w:rsidRDefault="00FD1C78" w:rsidP="00FD1C78">
            <w:pPr>
              <w:rPr>
                <w:rFonts w:ascii="Arial" w:hAnsi="Arial" w:cs="Arial"/>
              </w:rPr>
            </w:pPr>
          </w:p>
        </w:tc>
        <w:tc>
          <w:tcPr>
            <w:tcW w:w="3693" w:type="dxa"/>
            <w:gridSpan w:val="3"/>
          </w:tcPr>
          <w:p w14:paraId="650C52F6" w14:textId="77777777" w:rsidR="00FD1C78" w:rsidRDefault="00FD1C78" w:rsidP="00FD1C78">
            <w:pPr>
              <w:rPr>
                <w:rFonts w:ascii="Arial" w:hAnsi="Arial" w:cs="Arial"/>
              </w:rPr>
            </w:pPr>
          </w:p>
        </w:tc>
      </w:tr>
      <w:tr w:rsidR="00FD1C78" w14:paraId="25798DA7"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7F13AB6A" w14:textId="4EEA089F" w:rsidR="00FD1C78" w:rsidRDefault="00FD1C78" w:rsidP="00FD1C78">
            <w:pPr>
              <w:pStyle w:val="List"/>
              <w:ind w:left="0" w:firstLine="0"/>
              <w:rPr>
                <w:b/>
                <w:bCs/>
                <w:szCs w:val="24"/>
                <w:u w:val="single"/>
              </w:rPr>
            </w:pPr>
            <w:r>
              <w:rPr>
                <w:b/>
                <w:bCs/>
                <w:szCs w:val="24"/>
                <w:u w:val="single"/>
              </w:rPr>
              <w:lastRenderedPageBreak/>
              <w:t>Procedures Modified or Added:</w:t>
            </w:r>
          </w:p>
        </w:tc>
        <w:tc>
          <w:tcPr>
            <w:tcW w:w="1050" w:type="dxa"/>
          </w:tcPr>
          <w:p w14:paraId="30A41019" w14:textId="77777777" w:rsidR="00FD1C78" w:rsidRDefault="00FD1C78" w:rsidP="00FD1C78">
            <w:pPr>
              <w:rPr>
                <w:rFonts w:ascii="Arial" w:hAnsi="Arial" w:cs="Arial"/>
              </w:rPr>
            </w:pPr>
          </w:p>
        </w:tc>
        <w:tc>
          <w:tcPr>
            <w:tcW w:w="3693" w:type="dxa"/>
            <w:gridSpan w:val="3"/>
          </w:tcPr>
          <w:p w14:paraId="210A5C09" w14:textId="77777777" w:rsidR="00FD1C78" w:rsidRDefault="00FD1C78" w:rsidP="00FD1C78">
            <w:pPr>
              <w:rPr>
                <w:rFonts w:ascii="Arial" w:hAnsi="Arial" w:cs="Arial"/>
              </w:rPr>
            </w:pPr>
          </w:p>
        </w:tc>
      </w:tr>
      <w:tr w:rsidR="00FD1C78" w14:paraId="30BF73A8"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433C04FA" w14:textId="77777777" w:rsidR="00FD1C78" w:rsidRPr="00DD49AB" w:rsidRDefault="00FD1C78" w:rsidP="00FD1C78">
            <w:pPr>
              <w:pStyle w:val="List"/>
              <w:ind w:left="0" w:firstLine="0"/>
              <w:rPr>
                <w:b/>
                <w:bCs/>
                <w:sz w:val="36"/>
                <w:szCs w:val="24"/>
                <w:u w:val="single"/>
              </w:rPr>
            </w:pPr>
          </w:p>
        </w:tc>
        <w:tc>
          <w:tcPr>
            <w:tcW w:w="1050" w:type="dxa"/>
          </w:tcPr>
          <w:p w14:paraId="7097C555" w14:textId="77777777" w:rsidR="00FD1C78" w:rsidRDefault="00FD1C78" w:rsidP="00FD1C78">
            <w:pPr>
              <w:rPr>
                <w:rFonts w:ascii="Arial" w:hAnsi="Arial" w:cs="Arial"/>
              </w:rPr>
            </w:pPr>
          </w:p>
        </w:tc>
        <w:tc>
          <w:tcPr>
            <w:tcW w:w="3693" w:type="dxa"/>
            <w:gridSpan w:val="3"/>
          </w:tcPr>
          <w:p w14:paraId="097A37E8" w14:textId="77777777" w:rsidR="00FD1C78" w:rsidRDefault="00FD1C78" w:rsidP="00FD1C78">
            <w:pPr>
              <w:rPr>
                <w:rFonts w:ascii="Arial" w:hAnsi="Arial" w:cs="Arial"/>
              </w:rPr>
            </w:pPr>
          </w:p>
        </w:tc>
      </w:tr>
      <w:tr w:rsidR="00FD1C78" w14:paraId="2C972583"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3BC4CC99" w14:textId="77777777" w:rsidR="00FD1C78" w:rsidRPr="00DD49AB" w:rsidRDefault="00FD1C78" w:rsidP="00FD1C78">
            <w:pPr>
              <w:pStyle w:val="List"/>
              <w:ind w:left="0" w:firstLine="0"/>
              <w:rPr>
                <w:b/>
                <w:bCs/>
                <w:sz w:val="36"/>
                <w:szCs w:val="24"/>
                <w:u w:val="single"/>
              </w:rPr>
            </w:pPr>
          </w:p>
        </w:tc>
        <w:tc>
          <w:tcPr>
            <w:tcW w:w="1050" w:type="dxa"/>
          </w:tcPr>
          <w:p w14:paraId="07E9D7E3" w14:textId="77777777" w:rsidR="00FD1C78" w:rsidRDefault="00FD1C78" w:rsidP="00FD1C78">
            <w:pPr>
              <w:rPr>
                <w:rFonts w:ascii="Arial" w:hAnsi="Arial" w:cs="Arial"/>
              </w:rPr>
            </w:pPr>
          </w:p>
        </w:tc>
        <w:tc>
          <w:tcPr>
            <w:tcW w:w="3693" w:type="dxa"/>
            <w:gridSpan w:val="3"/>
          </w:tcPr>
          <w:p w14:paraId="310BCBD3" w14:textId="77777777" w:rsidR="00FD1C78" w:rsidRDefault="00FD1C78" w:rsidP="00FD1C78">
            <w:pPr>
              <w:rPr>
                <w:rFonts w:ascii="Arial" w:hAnsi="Arial" w:cs="Arial"/>
              </w:rPr>
            </w:pPr>
          </w:p>
        </w:tc>
      </w:tr>
      <w:tr w:rsidR="00DD49AB" w14:paraId="63E51820" w14:textId="77777777" w:rsidTr="00DB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PrEx>
        <w:trPr>
          <w:gridAfter w:val="1"/>
          <w:wAfter w:w="280" w:type="dxa"/>
          <w:cantSplit/>
        </w:trPr>
        <w:tc>
          <w:tcPr>
            <w:tcW w:w="5895" w:type="dxa"/>
            <w:gridSpan w:val="4"/>
            <w:tcMar>
              <w:left w:w="115" w:type="dxa"/>
              <w:bottom w:w="144" w:type="dxa"/>
              <w:right w:w="115" w:type="dxa"/>
            </w:tcMar>
          </w:tcPr>
          <w:p w14:paraId="6C231024" w14:textId="77777777" w:rsidR="00DD49AB" w:rsidRPr="00DD49AB" w:rsidRDefault="00DD49AB" w:rsidP="00FD1C78">
            <w:pPr>
              <w:pStyle w:val="List"/>
              <w:ind w:left="0" w:firstLine="0"/>
              <w:rPr>
                <w:b/>
                <w:bCs/>
                <w:sz w:val="36"/>
                <w:szCs w:val="24"/>
                <w:u w:val="single"/>
              </w:rPr>
            </w:pPr>
          </w:p>
        </w:tc>
        <w:tc>
          <w:tcPr>
            <w:tcW w:w="1050" w:type="dxa"/>
          </w:tcPr>
          <w:p w14:paraId="182F2FD0" w14:textId="77777777" w:rsidR="00DD49AB" w:rsidRDefault="00DD49AB" w:rsidP="00FD1C78">
            <w:pPr>
              <w:rPr>
                <w:rFonts w:ascii="Arial" w:hAnsi="Arial" w:cs="Arial"/>
              </w:rPr>
            </w:pPr>
          </w:p>
        </w:tc>
        <w:tc>
          <w:tcPr>
            <w:tcW w:w="3693" w:type="dxa"/>
            <w:gridSpan w:val="3"/>
          </w:tcPr>
          <w:p w14:paraId="654A066B" w14:textId="77777777" w:rsidR="00DD49AB" w:rsidRDefault="00DD49AB" w:rsidP="00FD1C78">
            <w:pPr>
              <w:rPr>
                <w:rFonts w:ascii="Arial" w:hAnsi="Arial" w:cs="Arial"/>
              </w:rPr>
            </w:pPr>
          </w:p>
        </w:tc>
      </w:tr>
    </w:tbl>
    <w:p w14:paraId="3D86CD7C" w14:textId="77777777" w:rsidR="00B5562A" w:rsidRDefault="00B5562A">
      <w:pPr>
        <w:pStyle w:val="Header"/>
        <w:tabs>
          <w:tab w:val="clear" w:pos="4320"/>
          <w:tab w:val="clear" w:pos="8640"/>
        </w:tabs>
      </w:pPr>
    </w:p>
    <w:p w14:paraId="27126602" w14:textId="77777777" w:rsidR="00B5562A" w:rsidRDefault="00B5562A"/>
    <w:sectPr w:rsidR="00B5562A" w:rsidSect="00C975F9">
      <w:type w:val="continuous"/>
      <w:pgSz w:w="12240" w:h="15840" w:code="1"/>
      <w:pgMar w:top="720" w:right="720" w:bottom="720" w:left="720" w:header="72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522F" w14:textId="77777777" w:rsidR="008A585D" w:rsidRDefault="008A585D">
      <w:r>
        <w:separator/>
      </w:r>
    </w:p>
  </w:endnote>
  <w:endnote w:type="continuationSeparator" w:id="0">
    <w:p w14:paraId="3B5B06FB" w14:textId="77777777" w:rsidR="008A585D" w:rsidRDefault="008A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9417" w14:textId="77777777" w:rsidR="0026719C" w:rsidRDefault="0026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40B1" w14:textId="77777777" w:rsidR="00467E22" w:rsidRDefault="00467E22">
    <w:pPr>
      <w:pStyle w:val="Footer"/>
      <w:rPr>
        <w:rFonts w:ascii="Times New Roman" w:hAnsi="Times New Roman" w:cs="Times New Roman"/>
      </w:rPr>
    </w:pPr>
    <w:r>
      <w:t xml:space="preserve">    </w:t>
    </w:r>
    <w:r>
      <w:rPr>
        <w:rFonts w:ascii="Times New Roman" w:hAnsi="Times New Roman" w:cs="Times New Roman"/>
        <w:b/>
        <w:bCs/>
      </w:rPr>
      <w:sym w:font="Wingdings" w:char="F0FC"/>
    </w:r>
    <w:r>
      <w:rPr>
        <w:rFonts w:ascii="Times New Roman" w:hAnsi="Times New Roman" w:cs="Times New Roman"/>
        <w:b/>
        <w:bCs/>
      </w:rPr>
      <w:t xml:space="preserve"> </w:t>
    </w:r>
    <w:r>
      <w:rPr>
        <w:rFonts w:ascii="Times New Roman" w:hAnsi="Times New Roman" w:cs="Times New Roman"/>
      </w:rPr>
      <w:t>- Step completed without exception</w:t>
    </w:r>
  </w:p>
  <w:p w14:paraId="0A7295BA" w14:textId="77777777" w:rsidR="00467E22" w:rsidRDefault="00467E22">
    <w:pPr>
      <w:pStyle w:val="Footer"/>
      <w:tabs>
        <w:tab w:val="clear" w:pos="4320"/>
        <w:tab w:val="clear" w:pos="8640"/>
        <w:tab w:val="left" w:pos="975"/>
        <w:tab w:val="left" w:pos="141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8E6C8B9" w14:textId="4D87B42C" w:rsidR="00467E22" w:rsidRPr="00B07FC0" w:rsidRDefault="00467E22" w:rsidP="002D69EF">
    <w:pPr>
      <w:pStyle w:val="Footer"/>
      <w:rPr>
        <w:rFonts w:ascii="Times New Roman" w:hAnsi="Times New Roman" w:cs="Times New Roman"/>
        <w:b/>
        <w:u w:val="single"/>
      </w:rPr>
    </w:pPr>
    <w:r w:rsidRPr="00B07FC0">
      <w:rPr>
        <w:rFonts w:ascii="Times New Roman" w:hAnsi="Times New Roman" w:cs="Times New Roman"/>
      </w:rPr>
      <w:t xml:space="preserve">VERSION </w:t>
    </w:r>
    <w:r w:rsidR="00C975F9">
      <w:rPr>
        <w:rFonts w:ascii="Times New Roman" w:hAnsi="Times New Roman" w:cs="Times New Roman"/>
      </w:rPr>
      <w:t>9</w:t>
    </w:r>
  </w:p>
  <w:p w14:paraId="238297E0" w14:textId="327AEE68" w:rsidR="00467E22" w:rsidRDefault="00467E22" w:rsidP="00C975F9">
    <w:pPr>
      <w:tabs>
        <w:tab w:val="left" w:pos="1260"/>
        <w:tab w:val="right" w:pos="10800"/>
      </w:tabs>
    </w:pPr>
    <w:r w:rsidRPr="00B07FC0">
      <w:t xml:space="preserve">EFFECTIVE:  </w:t>
    </w:r>
    <w:r w:rsidR="00C975F9">
      <w:t>April 1, 2023</w:t>
    </w:r>
    <w:r w:rsidR="00C975F9">
      <w:tab/>
    </w:r>
    <w:r>
      <w:t xml:space="preserve">Page </w:t>
    </w:r>
    <w:r>
      <w:fldChar w:fldCharType="begin"/>
    </w:r>
    <w:r>
      <w:instrText xml:space="preserve"> PAGE </w:instrText>
    </w:r>
    <w:r>
      <w:fldChar w:fldCharType="separate"/>
    </w:r>
    <w:r w:rsidR="00C975F9">
      <w:rPr>
        <w:noProof/>
      </w:rPr>
      <w:t>10</w:t>
    </w:r>
    <w:r>
      <w:fldChar w:fldCharType="end"/>
    </w:r>
    <w:r>
      <w:t xml:space="preserve"> of </w:t>
    </w:r>
    <w:r w:rsidR="008A585D">
      <w:fldChar w:fldCharType="begin"/>
    </w:r>
    <w:r w:rsidR="008A585D">
      <w:instrText xml:space="preserve"> NUMPAGES  </w:instrText>
    </w:r>
    <w:r w:rsidR="008A585D">
      <w:fldChar w:fldCharType="separate"/>
    </w:r>
    <w:r w:rsidR="00C975F9">
      <w:rPr>
        <w:noProof/>
      </w:rPr>
      <w:t>10</w:t>
    </w:r>
    <w:r w:rsidR="008A58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6939" w14:textId="77777777" w:rsidR="0026719C" w:rsidRDefault="0026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747CD" w14:textId="77777777" w:rsidR="008A585D" w:rsidRDefault="008A585D">
      <w:r>
        <w:separator/>
      </w:r>
    </w:p>
  </w:footnote>
  <w:footnote w:type="continuationSeparator" w:id="0">
    <w:p w14:paraId="47BDE995" w14:textId="77777777" w:rsidR="008A585D" w:rsidRDefault="008A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C8333" w14:textId="77777777" w:rsidR="0026719C" w:rsidRDefault="0026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FCE2" w14:textId="766DECA3" w:rsidR="00467E22" w:rsidRDefault="00467E22">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864D0C2" wp14:editId="4EA99FE8">
              <wp:simplePos x="0" y="0"/>
              <wp:positionH relativeFrom="column">
                <wp:posOffset>5042535</wp:posOffset>
              </wp:positionH>
              <wp:positionV relativeFrom="paragraph">
                <wp:posOffset>116840</wp:posOffset>
              </wp:positionV>
              <wp:extent cx="1447800" cy="2286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E4411C6" w14:textId="77777777" w:rsidR="00467E22" w:rsidRDefault="00467E22" w:rsidP="00C975F9">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4D0C2" id="_x0000_t202" coordsize="21600,21600" o:spt="202" path="m,l,21600r21600,l21600,xe">
              <v:stroke joinstyle="miter"/>
              <v:path gradientshapeok="t" o:connecttype="rect"/>
            </v:shapetype>
            <v:shape id="Text Box 10" o:spid="_x0000_s1026" type="#_x0000_t202" style="position:absolute;left:0;text-align:left;margin-left:397.05pt;margin-top:9.2pt;width:1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geKAIAAFE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OaJnsH6Er0eLfqFEb9jm1Op3t4D/+qJgU3PTCdunYOhF6zB9OaR2OzsaWyIL30EqYeP&#10;0GActguQgMbW6cgdskEQHdt0OLUm5sJjyMXi8ipHE0dbUVxdoBxDsPL5tXU+vBegSRQq6rD1CZ3t&#10;732YXJ9dYjAPSjZbqVRSXFdvlCN7hmOyTeeI/pObMmSo6PWyWE4E/BUiT+dPEFoGnHcldUWxHDzR&#10;iZWRtnemSXJgUk0yVqfMkcdI3URiGOsRHSOfNTQHZNTBNNe4hyj04L5TMuBMV9R/2zEnKFEfDHbl&#10;GlmMS5CUxfKyQMWdW+pzCzMcoSoaKJnETZgWZ2ed7HqMNM2BgVvsZCsTyS9ZHfPGuU1tOu5YXIxz&#10;PXm9/AnWPwAAAP//AwBQSwMEFAAGAAgAAAAhAHRUm8ffAAAACgEAAA8AAABkcnMvZG93bnJldi54&#10;bWxMj8tOwzAQRfdI/IM1SGwQdRpMm4Y4FUIC0R0UBFs3niYRfgTbTcPfM13BcuYe3TlTrSdr2Igh&#10;9t5JmM8yYOgar3vXSnh/e7wugMWknFbGO5TwgxHW9flZpUrtj+4Vx21qGZW4WCoJXUpDyXlsOrQq&#10;zvyAjrK9D1YlGkPLdVBHKreG51m24Fb1ji50asCHDpuv7cFKKMTz+Bk3Ny8fzWJvVulqOT59Bykv&#10;L6b7O2AJp/QHw0mf1KEmp50/OB2ZkbBciTmhFBQC2AnI8pw2Owm3QgCvK/7/hfoXAAD//wMAUEsB&#10;Ai0AFAAGAAgAAAAhALaDOJL+AAAA4QEAABMAAAAAAAAAAAAAAAAAAAAAAFtDb250ZW50X1R5cGVz&#10;XS54bWxQSwECLQAUAAYACAAAACEAOP0h/9YAAACUAQAACwAAAAAAAAAAAAAAAAAvAQAAX3JlbHMv&#10;LnJlbHNQSwECLQAUAAYACAAAACEAW1S4HigCAABRBAAADgAAAAAAAAAAAAAAAAAuAgAAZHJzL2Uy&#10;b0RvYy54bWxQSwECLQAUAAYACAAAACEAdFSbx98AAAAKAQAADwAAAAAAAAAAAAAAAACCBAAAZHJz&#10;L2Rvd25yZXYueG1sUEsFBgAAAAAEAAQA8wAAAI4FAAAAAA==&#10;">
              <v:textbox>
                <w:txbxContent>
                  <w:p w14:paraId="2E4411C6" w14:textId="77777777" w:rsidR="00467E22" w:rsidRDefault="00467E22" w:rsidP="00C975F9">
                    <w:pPr>
                      <w:jc w:val="center"/>
                      <w:rPr>
                        <w:sz w:val="16"/>
                        <w:szCs w:val="16"/>
                      </w:rPr>
                    </w:pPr>
                    <w:r>
                      <w:rPr>
                        <w:sz w:val="16"/>
                        <w:szCs w:val="16"/>
                      </w:rPr>
                      <w:t>Auditor’s Name and Date</w:t>
                    </w:r>
                  </w:p>
                </w:txbxContent>
              </v:textbox>
            </v:shape>
          </w:pict>
        </mc:Fallback>
      </mc:AlternateContent>
    </w:r>
  </w:p>
  <w:p w14:paraId="1D8F3867" w14:textId="77777777" w:rsidR="00467E22" w:rsidRDefault="00467E22">
    <w:pPr>
      <w:pStyle w:val="Header"/>
      <w:jc w:val="center"/>
      <w:rPr>
        <w:rFonts w:ascii="Times New Roman" w:hAnsi="Times New Roman" w:cs="Times New Roman"/>
      </w:rPr>
    </w:pPr>
    <w:r>
      <w:rPr>
        <w:rFonts w:ascii="Times New Roman" w:hAnsi="Times New Roman" w:cs="Times New Roman"/>
      </w:rPr>
      <w:t>Nevada Gaming Control Board</w:t>
    </w:r>
  </w:p>
  <w:p w14:paraId="1A739A24" w14:textId="77777777" w:rsidR="00467E22" w:rsidRDefault="00467E22">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C6863D1" wp14:editId="2BCA2F48">
              <wp:simplePos x="0" y="0"/>
              <wp:positionH relativeFrom="column">
                <wp:posOffset>5042535</wp:posOffset>
              </wp:positionH>
              <wp:positionV relativeFrom="paragraph">
                <wp:posOffset>46990</wp:posOffset>
              </wp:positionV>
              <wp:extent cx="1447800" cy="2286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AEBF1AB" w14:textId="77777777" w:rsidR="00467E22" w:rsidRDefault="00467E2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63D1" id="Text Box 9" o:spid="_x0000_s1027" type="#_x0000_t202" style="position:absolute;left:0;text-align:left;margin-left:397.05pt;margin-top:3.7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w0KQIAAFcEAAAOAAAAZHJzL2Uyb0RvYy54bWysVMFu2zAMvQ/YPwi6L3aMpG2MOEWXLsOA&#10;rhvQ7gNkWbaFyaImKbGzrx8lu6mx7TRMB4E0qUfykfT2dugUOQnrJOiCLhcpJUJzqKRuCvrt+fDu&#10;hhLnma6YAi0KehaO3u7evtn2JhcZtKAqYQmCaJf3pqCt9yZPEsdb0TG3ACM0GmuwHfOo2iapLOsR&#10;vVNJlqZXSQ+2Mha4cA6/3o9Guov4dS24/1LXTniiCoq5+XjbeJfhTnZbljeWmVbyKQ32D1l0TGoM&#10;eoG6Z56Ro5V/QHWSW3BQ+wWHLoG6llzEGrCaZfpbNU8tMyLWguQ4c6HJ/T9Y/nj6aomssHeUaNZh&#10;i57F4Ml7GMgmsNMbl6PTk0E3P+Dn4BkqdeYB+HdHNOxbphtxZy30rWAVZrcML5PZ0xHHBZCy/wwV&#10;hmFHDxFoqG0XAJEMgujYpfOlMyEVHkKuVtc3KZo42rLs5grlEILlL6+Ndf6jgI4EoaAWOx/R2enB&#10;+dH1xSVmD0pWB6lUVGxT7pUlJ4ZTcohnQndzN6VJX9DNOluPBMxtbg6RxvM3iE56HHclu4JiOXiC&#10;E8sDbR90FWXPpBplrE7picdA3UiiH8phahj6B45LqM5IrIVxunEbUWjB/qSkx8kuqPtxZFZQoj5p&#10;bM4GyQyrEJXV+jpDxc4t5dzCNEeognpKRnHvx/U5GiubFiON46DhDhtay8j1a1ZT+ji9sVvTpoX1&#10;mOvR6/V/sPsF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NM07DQpAgAAVwQAAA4AAAAAAAAAAAAAAAAALgIAAGRycy9l&#10;Mm9Eb2MueG1sUEsBAi0AFAAGAAgAAAAhAHizStbfAAAACQEAAA8AAAAAAAAAAAAAAAAAgwQAAGRy&#10;cy9kb3ducmV2LnhtbFBLBQYAAAAABAAEAPMAAACPBQAAAAA=&#10;">
              <v:textbox>
                <w:txbxContent>
                  <w:p w14:paraId="0AEBF1AB" w14:textId="77777777" w:rsidR="00467E22" w:rsidRDefault="00467E22">
                    <w:pPr>
                      <w:pStyle w:val="Header"/>
                      <w:tabs>
                        <w:tab w:val="clear" w:pos="4320"/>
                        <w:tab w:val="clear" w:pos="8640"/>
                      </w:tabs>
                    </w:pPr>
                  </w:p>
                </w:txbxContent>
              </v:textbox>
            </v:shape>
          </w:pict>
        </mc:Fallback>
      </mc:AlternateContent>
    </w:r>
  </w:p>
  <w:p w14:paraId="5FED1EEF" w14:textId="77777777" w:rsidR="00467E22" w:rsidRDefault="00467E22">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26C89815" w14:textId="77777777" w:rsidR="00467E22" w:rsidRDefault="00467E22">
    <w:pPr>
      <w:pStyle w:val="Header"/>
      <w:jc w:val="center"/>
      <w:rPr>
        <w:rFonts w:ascii="Times New Roman" w:hAnsi="Times New Roman" w:cs="Times New Roman"/>
      </w:rPr>
    </w:pPr>
  </w:p>
  <w:p w14:paraId="787F2EA0" w14:textId="77777777" w:rsidR="00467E22" w:rsidRDefault="00467E22">
    <w:pPr>
      <w:pStyle w:val="Header"/>
      <w:jc w:val="center"/>
      <w:rPr>
        <w:rFonts w:ascii="Times New Roman" w:hAnsi="Times New Roman" w:cs="Times New Roman"/>
        <w:b/>
        <w:bCs/>
      </w:rPr>
    </w:pPr>
    <w:r>
      <w:rPr>
        <w:rFonts w:ascii="Times New Roman" w:hAnsi="Times New Roman" w:cs="Times New Roman"/>
        <w:b/>
        <w:bCs/>
      </w:rPr>
      <w:t>SLOTS</w:t>
    </w:r>
  </w:p>
  <w:p w14:paraId="422C9787" w14:textId="77777777" w:rsidR="00467E22" w:rsidRDefault="00467E22">
    <w:pPr>
      <w:pStyle w:val="Header"/>
      <w:jc w:val="center"/>
      <w:rPr>
        <w:rFonts w:ascii="Times New Roman" w:hAnsi="Times New Roman" w:cs="Times New Roman"/>
      </w:rPr>
    </w:pPr>
    <w:r>
      <w:rPr>
        <w:rFonts w:ascii="Times New Roman" w:hAnsi="Times New Roman" w:cs="Times New Roman"/>
        <w:b/>
        <w:bCs/>
      </w:rPr>
      <w:t>TESTING PROCEDURES</w:t>
    </w:r>
    <w:r>
      <w:rPr>
        <w:rFonts w:ascii="Times New Roman" w:hAnsi="Times New Roman" w:cs="Times New Roman"/>
      </w:rPr>
      <w:t xml:space="preserve">  </w:t>
    </w:r>
  </w:p>
  <w:p w14:paraId="43BDE2FF" w14:textId="77777777" w:rsidR="00467E22" w:rsidRDefault="00467E22">
    <w:pPr>
      <w:pStyle w:val="Header"/>
      <w:jc w:val="center"/>
      <w:rPr>
        <w:rFonts w:ascii="Times New Roman" w:hAnsi="Times New Roman" w:cs="Times New Roman"/>
      </w:rPr>
    </w:pPr>
    <w:r>
      <w:rPr>
        <w:rFonts w:ascii="Times New Roman" w:hAnsi="Times New Roman" w:cs="Times New Roman"/>
      </w:rPr>
      <w:t xml:space="preserve">  </w:t>
    </w:r>
  </w:p>
  <w:p w14:paraId="66BA1904" w14:textId="77777777" w:rsidR="00467E22" w:rsidRDefault="00467E22">
    <w:pPr>
      <w:pStyle w:val="Header"/>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467E22" w14:paraId="22BFFAC1" w14:textId="77777777">
      <w:tc>
        <w:tcPr>
          <w:tcW w:w="1008" w:type="dxa"/>
          <w:tcBorders>
            <w:top w:val="nil"/>
            <w:left w:val="nil"/>
            <w:bottom w:val="nil"/>
            <w:right w:val="nil"/>
          </w:tcBorders>
        </w:tcPr>
        <w:p w14:paraId="0C5E9A21" w14:textId="77777777" w:rsidR="00467E22" w:rsidRDefault="00467E22">
          <w:pPr>
            <w:pStyle w:val="Header"/>
            <w:rPr>
              <w:rFonts w:ascii="Times New Roman" w:hAnsi="Times New Roman" w:cs="Times New Roman"/>
            </w:rPr>
          </w:pPr>
          <w:r>
            <w:rPr>
              <w:rFonts w:ascii="Times New Roman" w:hAnsi="Times New Roman" w:cs="Times New Roman"/>
            </w:rPr>
            <w:t>Licensee:</w:t>
          </w:r>
        </w:p>
      </w:tc>
      <w:tc>
        <w:tcPr>
          <w:tcW w:w="4500" w:type="dxa"/>
          <w:tcBorders>
            <w:top w:val="nil"/>
            <w:left w:val="nil"/>
            <w:bottom w:val="single" w:sz="4" w:space="0" w:color="auto"/>
            <w:right w:val="nil"/>
          </w:tcBorders>
        </w:tcPr>
        <w:p w14:paraId="244B9824" w14:textId="77777777" w:rsidR="00467E22" w:rsidRDefault="00467E22">
          <w:pPr>
            <w:pStyle w:val="Header"/>
            <w:rPr>
              <w:rFonts w:ascii="Times New Roman" w:hAnsi="Times New Roman" w:cs="Times New Roman"/>
            </w:rPr>
          </w:pPr>
        </w:p>
      </w:tc>
      <w:tc>
        <w:tcPr>
          <w:tcW w:w="1530" w:type="dxa"/>
          <w:tcBorders>
            <w:top w:val="nil"/>
            <w:left w:val="nil"/>
            <w:bottom w:val="nil"/>
            <w:right w:val="nil"/>
          </w:tcBorders>
        </w:tcPr>
        <w:p w14:paraId="031860BE" w14:textId="77777777" w:rsidR="00467E22" w:rsidRDefault="00467E22">
          <w:pPr>
            <w:pStyle w:val="Header"/>
            <w:rPr>
              <w:rFonts w:ascii="Times New Roman" w:hAnsi="Times New Roman" w:cs="Times New Roman"/>
            </w:rPr>
          </w:pPr>
          <w:r>
            <w:rPr>
              <w:rFonts w:ascii="Times New Roman" w:hAnsi="Times New Roman" w:cs="Times New Roman"/>
            </w:rPr>
            <w:t>Review Period:</w:t>
          </w:r>
        </w:p>
      </w:tc>
      <w:tc>
        <w:tcPr>
          <w:tcW w:w="3402" w:type="dxa"/>
          <w:tcBorders>
            <w:top w:val="nil"/>
            <w:left w:val="nil"/>
            <w:bottom w:val="single" w:sz="4" w:space="0" w:color="auto"/>
            <w:right w:val="nil"/>
          </w:tcBorders>
        </w:tcPr>
        <w:p w14:paraId="59440D52" w14:textId="77777777" w:rsidR="00467E22" w:rsidRDefault="00467E22">
          <w:pPr>
            <w:pStyle w:val="Header"/>
            <w:rPr>
              <w:rFonts w:ascii="Times New Roman" w:hAnsi="Times New Roman" w:cs="Times New Roman"/>
            </w:rPr>
          </w:pPr>
        </w:p>
      </w:tc>
    </w:tr>
  </w:tbl>
  <w:p w14:paraId="3A03812D" w14:textId="77777777" w:rsidR="00467E22" w:rsidRDefault="00467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C06D" w14:textId="77777777" w:rsidR="0026719C" w:rsidRDefault="0026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94"/>
    <w:multiLevelType w:val="multilevel"/>
    <w:tmpl w:val="5DA60C16"/>
    <w:lvl w:ilvl="0">
      <w:start w:val="15"/>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2254F86"/>
    <w:multiLevelType w:val="multilevel"/>
    <w:tmpl w:val="85D6D67A"/>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 w15:restartNumberingAfterBreak="0">
    <w:nsid w:val="1FD60C09"/>
    <w:multiLevelType w:val="multilevel"/>
    <w:tmpl w:val="41C82AAC"/>
    <w:lvl w:ilvl="0">
      <w:start w:val="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1710"/>
        </w:tabs>
        <w:ind w:left="135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211C6EB9"/>
    <w:multiLevelType w:val="multilevel"/>
    <w:tmpl w:val="3544BD8C"/>
    <w:lvl w:ilvl="0">
      <w:start w:val="2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35040643"/>
    <w:multiLevelType w:val="multilevel"/>
    <w:tmpl w:val="4022C5EA"/>
    <w:lvl w:ilvl="0">
      <w:start w:val="2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 w15:restartNumberingAfterBreak="0">
    <w:nsid w:val="44995FC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pPr>
      <w:rPr>
        <w:rFonts w:hint="default"/>
        <w:b w:val="0"/>
        <w:i w:val="0"/>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6" w15:restartNumberingAfterBreak="0">
    <w:nsid w:val="53AC332D"/>
    <w:multiLevelType w:val="multilevel"/>
    <w:tmpl w:val="F90A7DFC"/>
    <w:lvl w:ilvl="0">
      <w:start w:val="2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0"/>
  </w:num>
  <w:num w:numId="6">
    <w:abstractNumId w:val="5"/>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78"/>
    <w:rsid w:val="00034853"/>
    <w:rsid w:val="000B3171"/>
    <w:rsid w:val="0011627F"/>
    <w:rsid w:val="00117278"/>
    <w:rsid w:val="00125D98"/>
    <w:rsid w:val="00131A62"/>
    <w:rsid w:val="001651A6"/>
    <w:rsid w:val="00170B6C"/>
    <w:rsid w:val="00176C58"/>
    <w:rsid w:val="00190797"/>
    <w:rsid w:val="001B6515"/>
    <w:rsid w:val="001D2A05"/>
    <w:rsid w:val="001F2010"/>
    <w:rsid w:val="001F360B"/>
    <w:rsid w:val="001F40AA"/>
    <w:rsid w:val="00234A01"/>
    <w:rsid w:val="00237C06"/>
    <w:rsid w:val="00246257"/>
    <w:rsid w:val="0026719C"/>
    <w:rsid w:val="002809C0"/>
    <w:rsid w:val="00297249"/>
    <w:rsid w:val="002B786B"/>
    <w:rsid w:val="002D0607"/>
    <w:rsid w:val="002D3952"/>
    <w:rsid w:val="002D69EF"/>
    <w:rsid w:val="002E7C88"/>
    <w:rsid w:val="002F4647"/>
    <w:rsid w:val="002F7DB5"/>
    <w:rsid w:val="003129B1"/>
    <w:rsid w:val="003228E2"/>
    <w:rsid w:val="00354CDE"/>
    <w:rsid w:val="00356B7C"/>
    <w:rsid w:val="00363999"/>
    <w:rsid w:val="00376A82"/>
    <w:rsid w:val="00383FA7"/>
    <w:rsid w:val="003B24F8"/>
    <w:rsid w:val="003C691F"/>
    <w:rsid w:val="003D2B22"/>
    <w:rsid w:val="003E030A"/>
    <w:rsid w:val="00412D0B"/>
    <w:rsid w:val="004449E3"/>
    <w:rsid w:val="00453201"/>
    <w:rsid w:val="00464CF6"/>
    <w:rsid w:val="00467E22"/>
    <w:rsid w:val="004A4E84"/>
    <w:rsid w:val="004C69C9"/>
    <w:rsid w:val="004C72C9"/>
    <w:rsid w:val="004D7FF4"/>
    <w:rsid w:val="00523DDF"/>
    <w:rsid w:val="00534719"/>
    <w:rsid w:val="00551BD4"/>
    <w:rsid w:val="00575D3B"/>
    <w:rsid w:val="00594681"/>
    <w:rsid w:val="005B2DDA"/>
    <w:rsid w:val="005B2E5B"/>
    <w:rsid w:val="005B543D"/>
    <w:rsid w:val="005B65CA"/>
    <w:rsid w:val="005C470F"/>
    <w:rsid w:val="005E0D68"/>
    <w:rsid w:val="005F1805"/>
    <w:rsid w:val="005F397A"/>
    <w:rsid w:val="00607096"/>
    <w:rsid w:val="00616CF8"/>
    <w:rsid w:val="006210A2"/>
    <w:rsid w:val="0062796F"/>
    <w:rsid w:val="00641E44"/>
    <w:rsid w:val="00664BD6"/>
    <w:rsid w:val="00683D6A"/>
    <w:rsid w:val="00686448"/>
    <w:rsid w:val="006A3D12"/>
    <w:rsid w:val="006C0D65"/>
    <w:rsid w:val="006E0FF6"/>
    <w:rsid w:val="00706F1F"/>
    <w:rsid w:val="00713F3B"/>
    <w:rsid w:val="0073178A"/>
    <w:rsid w:val="00736B6A"/>
    <w:rsid w:val="007656DB"/>
    <w:rsid w:val="007911AF"/>
    <w:rsid w:val="00797BA5"/>
    <w:rsid w:val="007C1822"/>
    <w:rsid w:val="007C4CFF"/>
    <w:rsid w:val="007D555A"/>
    <w:rsid w:val="007F31F9"/>
    <w:rsid w:val="007F37CA"/>
    <w:rsid w:val="007F5BF8"/>
    <w:rsid w:val="007F75E6"/>
    <w:rsid w:val="00817BED"/>
    <w:rsid w:val="008204FE"/>
    <w:rsid w:val="008211F9"/>
    <w:rsid w:val="00832A08"/>
    <w:rsid w:val="00890C94"/>
    <w:rsid w:val="008A585D"/>
    <w:rsid w:val="008B32AC"/>
    <w:rsid w:val="009107A5"/>
    <w:rsid w:val="0092052B"/>
    <w:rsid w:val="00932BE0"/>
    <w:rsid w:val="00950448"/>
    <w:rsid w:val="0097306E"/>
    <w:rsid w:val="00996EB7"/>
    <w:rsid w:val="009A2F3A"/>
    <w:rsid w:val="009B1EAC"/>
    <w:rsid w:val="009C6A97"/>
    <w:rsid w:val="009E5FA1"/>
    <w:rsid w:val="00A20A00"/>
    <w:rsid w:val="00A61706"/>
    <w:rsid w:val="00A71BAD"/>
    <w:rsid w:val="00AC6A40"/>
    <w:rsid w:val="00AD2262"/>
    <w:rsid w:val="00AF1204"/>
    <w:rsid w:val="00B07978"/>
    <w:rsid w:val="00B07FC0"/>
    <w:rsid w:val="00B21BB3"/>
    <w:rsid w:val="00B264A6"/>
    <w:rsid w:val="00B5562A"/>
    <w:rsid w:val="00B61AB5"/>
    <w:rsid w:val="00B6346E"/>
    <w:rsid w:val="00B8386B"/>
    <w:rsid w:val="00B8419C"/>
    <w:rsid w:val="00B85AB4"/>
    <w:rsid w:val="00B97F00"/>
    <w:rsid w:val="00BA7D71"/>
    <w:rsid w:val="00BB56E7"/>
    <w:rsid w:val="00BD55C0"/>
    <w:rsid w:val="00BE7615"/>
    <w:rsid w:val="00BF2FD6"/>
    <w:rsid w:val="00BF30B2"/>
    <w:rsid w:val="00C02990"/>
    <w:rsid w:val="00C16341"/>
    <w:rsid w:val="00C17E3D"/>
    <w:rsid w:val="00C57376"/>
    <w:rsid w:val="00C92E1D"/>
    <w:rsid w:val="00C975F9"/>
    <w:rsid w:val="00CA12AC"/>
    <w:rsid w:val="00CA7C7B"/>
    <w:rsid w:val="00CB315C"/>
    <w:rsid w:val="00CD0467"/>
    <w:rsid w:val="00CE5F4C"/>
    <w:rsid w:val="00D10451"/>
    <w:rsid w:val="00D15D6D"/>
    <w:rsid w:val="00D3485F"/>
    <w:rsid w:val="00D6542B"/>
    <w:rsid w:val="00D83833"/>
    <w:rsid w:val="00D847B0"/>
    <w:rsid w:val="00DA1B25"/>
    <w:rsid w:val="00DB272A"/>
    <w:rsid w:val="00DC47BA"/>
    <w:rsid w:val="00DD49AB"/>
    <w:rsid w:val="00DE5876"/>
    <w:rsid w:val="00E255A9"/>
    <w:rsid w:val="00E5742A"/>
    <w:rsid w:val="00E63267"/>
    <w:rsid w:val="00E73CE6"/>
    <w:rsid w:val="00EA14DA"/>
    <w:rsid w:val="00EC6910"/>
    <w:rsid w:val="00EE20EE"/>
    <w:rsid w:val="00EF3DCB"/>
    <w:rsid w:val="00EF4F32"/>
    <w:rsid w:val="00F26A92"/>
    <w:rsid w:val="00F34183"/>
    <w:rsid w:val="00F60A2F"/>
    <w:rsid w:val="00F9089D"/>
    <w:rsid w:val="00FC1E62"/>
    <w:rsid w:val="00FD1C78"/>
    <w:rsid w:val="00FD71DA"/>
    <w:rsid w:val="00FE3600"/>
    <w:rsid w:val="00F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8076C"/>
  <w15:chartTrackingRefBased/>
  <w15:docId w15:val="{F73ADDF9-ADD9-49D7-A8F6-D76B5BAF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
    <w:name w:val="List"/>
    <w:basedOn w:val="Normal"/>
    <w:pPr>
      <w:ind w:left="360" w:hanging="360"/>
    </w:pPr>
  </w:style>
  <w:style w:type="paragraph" w:customStyle="1" w:styleId="indent">
    <w:name w:val="indent"/>
    <w:basedOn w:val="Normal"/>
    <w:pPr>
      <w:ind w:left="216" w:right="216"/>
    </w:pPr>
  </w:style>
  <w:style w:type="paragraph" w:styleId="BodyText">
    <w:name w:val="Body Text"/>
    <w:basedOn w:val="Normal"/>
    <w:rPr>
      <w:sz w:val="22"/>
      <w:szCs w:val="22"/>
    </w:rPr>
  </w:style>
  <w:style w:type="paragraph" w:styleId="BodyTextIndent">
    <w:name w:val="Body Text Indent"/>
    <w:basedOn w:val="Normal"/>
    <w:pPr>
      <w:autoSpaceDE/>
      <w:autoSpaceDN/>
    </w:pPr>
    <w:rPr>
      <w:sz w:val="16"/>
      <w:szCs w:val="16"/>
    </w:rPr>
  </w:style>
  <w:style w:type="paragraph" w:styleId="List2">
    <w:name w:val="List 2"/>
    <w:basedOn w:val="Normal"/>
    <w:pPr>
      <w:ind w:left="720" w:hanging="360"/>
    </w:pPr>
  </w:style>
  <w:style w:type="paragraph" w:styleId="BalloonText">
    <w:name w:val="Balloon Text"/>
    <w:basedOn w:val="Normal"/>
    <w:link w:val="BalloonTextChar"/>
    <w:uiPriority w:val="99"/>
    <w:semiHidden/>
    <w:unhideWhenUsed/>
    <w:rsid w:val="002D0607"/>
    <w:rPr>
      <w:rFonts w:ascii="Segoe UI" w:hAnsi="Segoe UI"/>
      <w:sz w:val="18"/>
      <w:szCs w:val="18"/>
      <w:lang w:val="x-none" w:eastAsia="x-none"/>
    </w:rPr>
  </w:style>
  <w:style w:type="character" w:customStyle="1" w:styleId="BalloonTextChar">
    <w:name w:val="Balloon Text Char"/>
    <w:link w:val="BalloonText"/>
    <w:uiPriority w:val="99"/>
    <w:semiHidden/>
    <w:rsid w:val="002D0607"/>
    <w:rPr>
      <w:rFonts w:ascii="Segoe UI" w:hAnsi="Segoe UI" w:cs="Segoe UI"/>
      <w:sz w:val="18"/>
      <w:szCs w:val="18"/>
    </w:rPr>
  </w:style>
  <w:style w:type="character" w:styleId="CommentReference">
    <w:name w:val="annotation reference"/>
    <w:basedOn w:val="DefaultParagraphFont"/>
    <w:semiHidden/>
    <w:unhideWhenUsed/>
    <w:rsid w:val="00C17E3D"/>
    <w:rPr>
      <w:sz w:val="16"/>
      <w:szCs w:val="16"/>
    </w:rPr>
  </w:style>
  <w:style w:type="paragraph" w:styleId="CommentText">
    <w:name w:val="annotation text"/>
    <w:basedOn w:val="Normal"/>
    <w:link w:val="CommentTextChar"/>
    <w:uiPriority w:val="99"/>
    <w:semiHidden/>
    <w:unhideWhenUsed/>
    <w:rsid w:val="00C17E3D"/>
  </w:style>
  <w:style w:type="character" w:customStyle="1" w:styleId="CommentTextChar">
    <w:name w:val="Comment Text Char"/>
    <w:basedOn w:val="DefaultParagraphFont"/>
    <w:link w:val="CommentText"/>
    <w:uiPriority w:val="99"/>
    <w:semiHidden/>
    <w:rsid w:val="00C17E3D"/>
  </w:style>
  <w:style w:type="paragraph" w:styleId="CommentSubject">
    <w:name w:val="annotation subject"/>
    <w:basedOn w:val="CommentText"/>
    <w:next w:val="CommentText"/>
    <w:link w:val="CommentSubjectChar"/>
    <w:uiPriority w:val="99"/>
    <w:semiHidden/>
    <w:unhideWhenUsed/>
    <w:rsid w:val="00C17E3D"/>
    <w:rPr>
      <w:b/>
      <w:bCs/>
    </w:rPr>
  </w:style>
  <w:style w:type="character" w:customStyle="1" w:styleId="CommentSubjectChar">
    <w:name w:val="Comment Subject Char"/>
    <w:basedOn w:val="CommentTextChar"/>
    <w:link w:val="CommentSubject"/>
    <w:uiPriority w:val="99"/>
    <w:semiHidden/>
    <w:rsid w:val="00C17E3D"/>
    <w:rPr>
      <w:b/>
      <w:bCs/>
    </w:rPr>
  </w:style>
  <w:style w:type="paragraph" w:styleId="Revision">
    <w:name w:val="Revision"/>
    <w:hidden/>
    <w:uiPriority w:val="99"/>
    <w:semiHidden/>
    <w:rsid w:val="0097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61C8-CB66-4302-ABCA-9908A5DE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Batt, Andrew</cp:lastModifiedBy>
  <cp:revision>4</cp:revision>
  <cp:lastPrinted>2018-02-09T19:12:00Z</cp:lastPrinted>
  <dcterms:created xsi:type="dcterms:W3CDTF">2023-05-25T22:38:00Z</dcterms:created>
  <dcterms:modified xsi:type="dcterms:W3CDTF">2024-04-30T19:07:00Z</dcterms:modified>
</cp:coreProperties>
</file>